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DE3B" w14:textId="77777777" w:rsidR="003558EA" w:rsidRPr="00FD12B6" w:rsidRDefault="003558EA" w:rsidP="003558EA">
      <w:pPr>
        <w:autoSpaceDE w:val="0"/>
        <w:autoSpaceDN w:val="0"/>
        <w:adjustRightInd w:val="0"/>
        <w:rPr>
          <w:rFonts w:ascii="Calibri,Bold" w:hAnsi="Calibri,Bold" w:cs="Calibri,Bold"/>
          <w:b/>
          <w:bCs/>
          <w:color w:val="000000" w:themeColor="text1"/>
          <w:sz w:val="28"/>
          <w:szCs w:val="28"/>
        </w:rPr>
      </w:pPr>
    </w:p>
    <w:p w14:paraId="4EB052B4" w14:textId="77777777" w:rsidR="003558EA" w:rsidRPr="00FD12B6" w:rsidRDefault="00FB25E2" w:rsidP="003558EA">
      <w:pPr>
        <w:autoSpaceDE w:val="0"/>
        <w:autoSpaceDN w:val="0"/>
        <w:adjustRightInd w:val="0"/>
        <w:rPr>
          <w:rFonts w:ascii="Calibri,Bold" w:hAnsi="Calibri,Bold" w:cs="Calibri,Bold"/>
          <w:b/>
          <w:bCs/>
          <w:color w:val="000000" w:themeColor="text1"/>
          <w:sz w:val="28"/>
          <w:szCs w:val="28"/>
        </w:rPr>
      </w:pPr>
      <w:r w:rsidRPr="00423A16">
        <w:rPr>
          <w:noProof/>
          <w:lang w:eastAsia="en-IE"/>
        </w:rPr>
        <w:drawing>
          <wp:inline distT="0" distB="0" distL="0" distR="0" wp14:anchorId="2665CCFE" wp14:editId="2A75E6A5">
            <wp:extent cx="1888177" cy="945962"/>
            <wp:effectExtent l="0" t="0" r="0" b="0"/>
            <wp:docPr id="1" name="Picture 1" descr="G:\Common\Corporate Services\Finance\Procurement\2019\Logo\OPR Logo\OPR Pantone Logo\OPR Logo Pan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09674" name="Picture 1" descr="G:\Common\Corporate Services\Finance\Procurement\2019\Logo\OPR Logo\OPR Pantone Logo\OPR Logo Pantone.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02156" cy="952965"/>
                    </a:xfrm>
                    <a:prstGeom prst="rect">
                      <a:avLst/>
                    </a:prstGeom>
                    <a:noFill/>
                    <a:ln>
                      <a:noFill/>
                    </a:ln>
                  </pic:spPr>
                </pic:pic>
              </a:graphicData>
            </a:graphic>
          </wp:inline>
        </w:drawing>
      </w:r>
    </w:p>
    <w:p w14:paraId="5D6191FD" w14:textId="77777777" w:rsidR="003558EA" w:rsidRPr="00FD12B6" w:rsidRDefault="003558EA" w:rsidP="003558EA">
      <w:pPr>
        <w:autoSpaceDE w:val="0"/>
        <w:autoSpaceDN w:val="0"/>
        <w:adjustRightInd w:val="0"/>
        <w:jc w:val="center"/>
        <w:rPr>
          <w:rFonts w:ascii="Calibri,Bold" w:hAnsi="Calibri,Bold" w:cs="Calibri,Bold"/>
          <w:b/>
          <w:bCs/>
          <w:color w:val="000000" w:themeColor="text1"/>
          <w:sz w:val="28"/>
          <w:szCs w:val="28"/>
        </w:rPr>
      </w:pPr>
    </w:p>
    <w:p w14:paraId="032A8582" w14:textId="77777777" w:rsidR="003558EA" w:rsidRPr="00FD12B6" w:rsidRDefault="003558EA" w:rsidP="003558EA">
      <w:pPr>
        <w:autoSpaceDE w:val="0"/>
        <w:autoSpaceDN w:val="0"/>
        <w:adjustRightInd w:val="0"/>
        <w:jc w:val="center"/>
        <w:rPr>
          <w:rFonts w:ascii="Calibri,Bold" w:hAnsi="Calibri,Bold" w:cs="Calibri,Bold"/>
          <w:b/>
          <w:bCs/>
          <w:color w:val="000000" w:themeColor="text1"/>
          <w:sz w:val="28"/>
          <w:szCs w:val="28"/>
        </w:rPr>
      </w:pPr>
    </w:p>
    <w:p w14:paraId="1150839A" w14:textId="77777777" w:rsidR="003558EA" w:rsidRPr="00FD12B6" w:rsidRDefault="003558EA" w:rsidP="003558EA">
      <w:pPr>
        <w:autoSpaceDE w:val="0"/>
        <w:autoSpaceDN w:val="0"/>
        <w:adjustRightInd w:val="0"/>
        <w:jc w:val="center"/>
        <w:rPr>
          <w:rFonts w:ascii="Calibri,Bold" w:hAnsi="Calibri,Bold" w:cs="Calibri,Bold"/>
          <w:b/>
          <w:bCs/>
          <w:color w:val="000000" w:themeColor="text1"/>
          <w:sz w:val="28"/>
          <w:szCs w:val="28"/>
        </w:rPr>
      </w:pPr>
    </w:p>
    <w:p w14:paraId="58D56757" w14:textId="77777777" w:rsidR="00FF7131" w:rsidRDefault="00FB25E2" w:rsidP="003558EA">
      <w:pPr>
        <w:autoSpaceDE w:val="0"/>
        <w:autoSpaceDN w:val="0"/>
        <w:adjustRightInd w:val="0"/>
        <w:jc w:val="center"/>
        <w:rPr>
          <w:rFonts w:ascii="Calibri,Bold" w:hAnsi="Calibri,Bold" w:cs="Calibri,Bold"/>
          <w:b/>
          <w:bCs/>
          <w:color w:val="000000" w:themeColor="text1"/>
          <w:sz w:val="44"/>
          <w:szCs w:val="44"/>
        </w:rPr>
      </w:pPr>
      <w:r>
        <w:rPr>
          <w:rFonts w:ascii="Calibri,Bold" w:hAnsi="Calibri,Bold" w:cs="Calibri,Bold"/>
          <w:b/>
          <w:bCs/>
          <w:color w:val="000000" w:themeColor="text1"/>
          <w:sz w:val="44"/>
          <w:szCs w:val="44"/>
        </w:rPr>
        <w:t xml:space="preserve">DATA PRIVACY </w:t>
      </w:r>
      <w:r w:rsidR="00FF7131">
        <w:rPr>
          <w:rFonts w:ascii="Calibri,Bold" w:hAnsi="Calibri,Bold" w:cs="Calibri,Bold"/>
          <w:b/>
          <w:bCs/>
          <w:color w:val="000000" w:themeColor="text1"/>
          <w:sz w:val="44"/>
          <w:szCs w:val="44"/>
        </w:rPr>
        <w:t>STATEMENT</w:t>
      </w:r>
    </w:p>
    <w:p w14:paraId="0DEA4E86" w14:textId="5EE49476" w:rsidR="000D2FEF" w:rsidRDefault="000D2FEF" w:rsidP="003558EA">
      <w:pPr>
        <w:autoSpaceDE w:val="0"/>
        <w:autoSpaceDN w:val="0"/>
        <w:adjustRightInd w:val="0"/>
        <w:jc w:val="center"/>
        <w:rPr>
          <w:rFonts w:ascii="Calibri,Bold" w:hAnsi="Calibri,Bold" w:cs="Calibri,Bold"/>
          <w:b/>
          <w:bCs/>
          <w:color w:val="000000" w:themeColor="text1"/>
          <w:sz w:val="44"/>
          <w:szCs w:val="44"/>
        </w:rPr>
      </w:pPr>
    </w:p>
    <w:p w14:paraId="02206609" w14:textId="77154B6A" w:rsidR="00D643DB" w:rsidRDefault="00D643DB" w:rsidP="003558EA">
      <w:pPr>
        <w:autoSpaceDE w:val="0"/>
        <w:autoSpaceDN w:val="0"/>
        <w:adjustRightInd w:val="0"/>
        <w:jc w:val="center"/>
        <w:rPr>
          <w:rFonts w:ascii="Calibri,Bold" w:hAnsi="Calibri,Bold" w:cs="Calibri,Bold"/>
          <w:b/>
          <w:bCs/>
          <w:color w:val="000000" w:themeColor="text1"/>
          <w:sz w:val="44"/>
          <w:szCs w:val="44"/>
        </w:rPr>
      </w:pPr>
    </w:p>
    <w:p w14:paraId="3EE50DF7" w14:textId="477D77E9" w:rsidR="00B11376" w:rsidRDefault="00B11376" w:rsidP="003558EA">
      <w:pPr>
        <w:autoSpaceDE w:val="0"/>
        <w:autoSpaceDN w:val="0"/>
        <w:adjustRightInd w:val="0"/>
        <w:jc w:val="center"/>
        <w:rPr>
          <w:rFonts w:ascii="Calibri,Bold" w:hAnsi="Calibri,Bold" w:cs="Calibri,Bold"/>
          <w:b/>
          <w:bCs/>
          <w:color w:val="000000" w:themeColor="text1"/>
          <w:sz w:val="44"/>
          <w:szCs w:val="44"/>
        </w:rPr>
      </w:pPr>
      <w:r>
        <w:rPr>
          <w:rFonts w:ascii="Calibri,Bold" w:hAnsi="Calibri,Bold" w:cs="Calibri,Bold"/>
          <w:b/>
          <w:bCs/>
          <w:color w:val="000000" w:themeColor="text1"/>
          <w:sz w:val="44"/>
          <w:szCs w:val="44"/>
        </w:rPr>
        <w:t>Local Authority and Regional Assembly Staff</w:t>
      </w:r>
    </w:p>
    <w:p w14:paraId="7200B575" w14:textId="111A1105" w:rsidR="00E55D60" w:rsidRDefault="00E55D60" w:rsidP="00E55D60">
      <w:pPr>
        <w:autoSpaceDE w:val="0"/>
        <w:autoSpaceDN w:val="0"/>
        <w:adjustRightInd w:val="0"/>
        <w:jc w:val="center"/>
        <w:rPr>
          <w:rFonts w:ascii="Calibri,Bold" w:hAnsi="Calibri,Bold" w:cs="Calibri,Bold"/>
          <w:b/>
          <w:bCs/>
          <w:color w:val="000000" w:themeColor="text1"/>
          <w:sz w:val="44"/>
          <w:szCs w:val="44"/>
        </w:rPr>
      </w:pPr>
      <w:r>
        <w:rPr>
          <w:rFonts w:ascii="Calibri,Bold" w:hAnsi="Calibri,Bold" w:cs="Calibri,Bold"/>
          <w:b/>
          <w:bCs/>
          <w:color w:val="000000" w:themeColor="text1"/>
          <w:sz w:val="44"/>
          <w:szCs w:val="44"/>
        </w:rPr>
        <w:t>Training Webinars</w:t>
      </w:r>
    </w:p>
    <w:p w14:paraId="709F1BD4" w14:textId="77777777" w:rsidR="003558EA" w:rsidRDefault="003558EA" w:rsidP="003558EA">
      <w:pPr>
        <w:autoSpaceDE w:val="0"/>
        <w:autoSpaceDN w:val="0"/>
        <w:adjustRightInd w:val="0"/>
        <w:jc w:val="center"/>
        <w:rPr>
          <w:rFonts w:ascii="Calibri,Bold" w:hAnsi="Calibri,Bold" w:cs="Calibri,Bold"/>
          <w:b/>
          <w:bCs/>
          <w:color w:val="000000"/>
          <w:sz w:val="28"/>
          <w:szCs w:val="28"/>
        </w:rPr>
      </w:pPr>
    </w:p>
    <w:p w14:paraId="44B829B3" w14:textId="67ACB99E" w:rsidR="0024009E" w:rsidRDefault="0024009E" w:rsidP="0024009E">
      <w:pPr>
        <w:autoSpaceDE w:val="0"/>
        <w:autoSpaceDN w:val="0"/>
        <w:adjustRightInd w:val="0"/>
        <w:rPr>
          <w:rFonts w:ascii="Calibri,Bold" w:hAnsi="Calibri,Bold" w:cs="Calibri,Bold"/>
          <w:b/>
          <w:bCs/>
          <w:color w:val="000000"/>
          <w:sz w:val="28"/>
          <w:szCs w:val="28"/>
        </w:rPr>
      </w:pPr>
    </w:p>
    <w:p w14:paraId="6859C00F" w14:textId="48303684" w:rsidR="0024009E" w:rsidRDefault="0024009E" w:rsidP="0024009E">
      <w:pPr>
        <w:autoSpaceDE w:val="0"/>
        <w:autoSpaceDN w:val="0"/>
        <w:adjustRightInd w:val="0"/>
        <w:rPr>
          <w:rFonts w:ascii="Calibri,Bold" w:hAnsi="Calibri,Bold" w:cs="Calibri,Bold"/>
          <w:b/>
          <w:bCs/>
          <w:color w:val="000000"/>
          <w:sz w:val="28"/>
          <w:szCs w:val="28"/>
        </w:rPr>
      </w:pPr>
    </w:p>
    <w:p w14:paraId="7CA83214" w14:textId="2B8BDA64" w:rsidR="00D643DB" w:rsidRDefault="00D643DB" w:rsidP="0024009E">
      <w:pPr>
        <w:autoSpaceDE w:val="0"/>
        <w:autoSpaceDN w:val="0"/>
        <w:adjustRightInd w:val="0"/>
        <w:rPr>
          <w:rFonts w:ascii="Calibri,Bold" w:hAnsi="Calibri,Bold" w:cs="Calibri,Bold"/>
          <w:b/>
          <w:bCs/>
          <w:color w:val="000000"/>
          <w:sz w:val="28"/>
          <w:szCs w:val="28"/>
        </w:rPr>
      </w:pPr>
    </w:p>
    <w:p w14:paraId="053F66BE" w14:textId="77777777" w:rsidR="00B11376" w:rsidRDefault="00B11376" w:rsidP="0024009E">
      <w:pPr>
        <w:autoSpaceDE w:val="0"/>
        <w:autoSpaceDN w:val="0"/>
        <w:adjustRightInd w:val="0"/>
        <w:rPr>
          <w:rFonts w:ascii="Calibri,Bold" w:hAnsi="Calibri,Bold" w:cs="Calibri,Bold"/>
          <w:b/>
          <w:bCs/>
          <w:color w:val="000000"/>
          <w:sz w:val="28"/>
          <w:szCs w:val="28"/>
        </w:rPr>
      </w:pPr>
    </w:p>
    <w:p w14:paraId="1F2D6C96" w14:textId="77777777" w:rsidR="00B11376" w:rsidRDefault="00B11376" w:rsidP="0024009E">
      <w:pPr>
        <w:autoSpaceDE w:val="0"/>
        <w:autoSpaceDN w:val="0"/>
        <w:adjustRightInd w:val="0"/>
        <w:rPr>
          <w:rFonts w:ascii="Calibri,Bold" w:hAnsi="Calibri,Bold" w:cs="Calibri,Bold"/>
          <w:b/>
          <w:bCs/>
          <w:color w:val="000000"/>
          <w:sz w:val="28"/>
          <w:szCs w:val="28"/>
        </w:rPr>
      </w:pPr>
    </w:p>
    <w:p w14:paraId="2F460326" w14:textId="77777777" w:rsidR="00D643DB" w:rsidRDefault="00D643DB" w:rsidP="0024009E">
      <w:pPr>
        <w:autoSpaceDE w:val="0"/>
        <w:autoSpaceDN w:val="0"/>
        <w:adjustRightInd w:val="0"/>
        <w:rPr>
          <w:rFonts w:ascii="Calibri,Bold" w:hAnsi="Calibri,Bold" w:cs="Calibri,Bold"/>
          <w:b/>
          <w:bCs/>
          <w:color w:val="000000"/>
          <w:sz w:val="28"/>
          <w:szCs w:val="28"/>
        </w:rPr>
      </w:pPr>
    </w:p>
    <w:p w14:paraId="279307D0" w14:textId="77777777" w:rsidR="00826CE1" w:rsidRDefault="00826CE1" w:rsidP="003558EA">
      <w:pPr>
        <w:autoSpaceDE w:val="0"/>
        <w:autoSpaceDN w:val="0"/>
        <w:adjustRightInd w:val="0"/>
        <w:jc w:val="center"/>
        <w:rPr>
          <w:rFonts w:ascii="Calibri,Bold" w:hAnsi="Calibri,Bold" w:cs="Calibri,Bold"/>
          <w:b/>
          <w:bCs/>
          <w:color w:val="000000" w:themeColor="text1"/>
          <w:sz w:val="28"/>
          <w:szCs w:val="28"/>
        </w:rPr>
      </w:pPr>
    </w:p>
    <w:p w14:paraId="4E20474D" w14:textId="1D0F43D3" w:rsidR="003558EA" w:rsidRPr="00FD12B6" w:rsidRDefault="00B11376" w:rsidP="6AA41292">
      <w:pPr>
        <w:autoSpaceDE w:val="0"/>
        <w:autoSpaceDN w:val="0"/>
        <w:adjustRightInd w:val="0"/>
        <w:jc w:val="center"/>
        <w:rPr>
          <w:rFonts w:ascii="Calibri,Bold" w:hAnsi="Calibri,Bold" w:cs="Calibri,Bold"/>
          <w:b/>
          <w:bCs/>
          <w:color w:val="000000" w:themeColor="text1"/>
          <w:sz w:val="28"/>
          <w:szCs w:val="28"/>
        </w:rPr>
      </w:pPr>
      <w:r w:rsidRPr="00B11376">
        <w:rPr>
          <w:rFonts w:ascii="Calibri,Bold" w:hAnsi="Calibri,Bold" w:cs="Calibri,Bold"/>
          <w:b/>
          <w:bCs/>
          <w:color w:val="000000" w:themeColor="text1"/>
          <w:sz w:val="28"/>
          <w:szCs w:val="28"/>
        </w:rPr>
        <w:t>November</w:t>
      </w:r>
      <w:r w:rsidR="6AA41292" w:rsidRPr="00B11376">
        <w:rPr>
          <w:rFonts w:ascii="Calibri,Bold" w:hAnsi="Calibri,Bold" w:cs="Calibri,Bold"/>
          <w:b/>
          <w:bCs/>
          <w:color w:val="000000" w:themeColor="text1"/>
          <w:sz w:val="28"/>
          <w:szCs w:val="28"/>
        </w:rPr>
        <w:t xml:space="preserve"> 2025</w:t>
      </w:r>
    </w:p>
    <w:p w14:paraId="475C3076" w14:textId="77777777" w:rsidR="003558EA" w:rsidRDefault="003558EA" w:rsidP="003558EA">
      <w:pPr>
        <w:jc w:val="center"/>
        <w:rPr>
          <w:rFonts w:ascii="Calibri,Bold" w:hAnsi="Calibri,Bold" w:cs="Calibri,Bold"/>
          <w:b/>
          <w:bCs/>
          <w:color w:val="000000"/>
          <w:sz w:val="32"/>
          <w:szCs w:val="32"/>
        </w:rPr>
      </w:pPr>
    </w:p>
    <w:p w14:paraId="36BBF064" w14:textId="77777777" w:rsidR="003558EA" w:rsidRPr="00FD12B6" w:rsidRDefault="00FB25E2" w:rsidP="003558EA">
      <w:pPr>
        <w:jc w:val="center"/>
        <w:rPr>
          <w:rFonts w:ascii="Calibri,Bold" w:hAnsi="Calibri,Bold" w:cs="Calibri,Bold"/>
          <w:b/>
          <w:bCs/>
          <w:color w:val="000000"/>
          <w:sz w:val="32"/>
          <w:szCs w:val="32"/>
        </w:rPr>
      </w:pPr>
      <w:r w:rsidRPr="00FD12B6">
        <w:rPr>
          <w:rFonts w:ascii="Calibri,Bold" w:hAnsi="Calibri,Bold" w:cs="Calibri,Bold"/>
          <w:b/>
          <w:bCs/>
          <w:color w:val="000000" w:themeColor="text1"/>
          <w:sz w:val="32"/>
          <w:szCs w:val="32"/>
        </w:rPr>
        <w:t>Prepared by the Office of the Planning Regulator</w:t>
      </w:r>
    </w:p>
    <w:p w14:paraId="6301F7C7" w14:textId="77777777" w:rsidR="003558EA" w:rsidRDefault="00F5638B" w:rsidP="003558EA">
      <w:pPr>
        <w:spacing w:after="0" w:line="240" w:lineRule="auto"/>
        <w:jc w:val="center"/>
        <w:rPr>
          <w:rFonts w:ascii="Calibri,Bold" w:hAnsi="Calibri,Bold" w:cs="Calibri,Bold"/>
          <w:b/>
          <w:bCs/>
          <w:color w:val="5B9BD5"/>
          <w:sz w:val="32"/>
          <w:szCs w:val="32"/>
          <w:u w:val="single"/>
        </w:rPr>
      </w:pPr>
      <w:hyperlink r:id="rId12" w:history="1">
        <w:r w:rsidRPr="00A17580">
          <w:rPr>
            <w:rFonts w:ascii="Calibri,Bold" w:hAnsi="Calibri,Bold" w:cs="Calibri,Bold"/>
            <w:b/>
            <w:bCs/>
            <w:color w:val="5B9BD5" w:themeColor="accent1"/>
            <w:sz w:val="32"/>
            <w:szCs w:val="32"/>
            <w:u w:val="single"/>
          </w:rPr>
          <w:t>www.opr.ie</w:t>
        </w:r>
      </w:hyperlink>
    </w:p>
    <w:p w14:paraId="1C2A6DFF" w14:textId="7DB2209B" w:rsidR="009179AF" w:rsidRDefault="009179AF" w:rsidP="00FC6472">
      <w:pPr>
        <w:rPr>
          <w:b/>
          <w:sz w:val="28"/>
          <w:szCs w:val="28"/>
        </w:rPr>
      </w:pPr>
    </w:p>
    <w:p w14:paraId="7A3DCB81" w14:textId="5473C8F2" w:rsidR="003558EA" w:rsidRPr="001D3D87" w:rsidRDefault="00FB25E2" w:rsidP="00FC6472">
      <w:pPr>
        <w:rPr>
          <w:b/>
          <w:sz w:val="28"/>
          <w:szCs w:val="28"/>
        </w:rPr>
      </w:pPr>
      <w:r w:rsidRPr="001D3D87">
        <w:rPr>
          <w:b/>
          <w:sz w:val="28"/>
          <w:szCs w:val="28"/>
        </w:rPr>
        <w:lastRenderedPageBreak/>
        <w:t>Privacy Statement</w:t>
      </w:r>
    </w:p>
    <w:p w14:paraId="2FB51DF5" w14:textId="77777777" w:rsidR="003558EA" w:rsidRDefault="003558EA" w:rsidP="00D02037">
      <w:pPr>
        <w:spacing w:after="0" w:line="240" w:lineRule="auto"/>
      </w:pPr>
    </w:p>
    <w:p w14:paraId="524B10DA" w14:textId="7F08F966" w:rsidR="003558EA" w:rsidRDefault="00FB25E2" w:rsidP="00D02037">
      <w:pPr>
        <w:spacing w:after="0" w:line="240" w:lineRule="auto"/>
      </w:pPr>
      <w:r>
        <w:t xml:space="preserve">This </w:t>
      </w:r>
      <w:r w:rsidR="00D1733A">
        <w:t>statement</w:t>
      </w:r>
      <w:r>
        <w:t xml:space="preserve"> provides you with information regarding the personal data about you which is held by the Office of the Planning Regulator (OPR).</w:t>
      </w:r>
    </w:p>
    <w:p w14:paraId="24D254A9" w14:textId="77777777" w:rsidR="003558EA" w:rsidRDefault="003558EA" w:rsidP="00D02037">
      <w:pPr>
        <w:spacing w:after="0" w:line="240" w:lineRule="auto"/>
      </w:pPr>
    </w:p>
    <w:p w14:paraId="3406AC97" w14:textId="28416FA8" w:rsidR="003558EA" w:rsidRDefault="00FB25E2" w:rsidP="00D02037">
      <w:pPr>
        <w:spacing w:after="0" w:line="240" w:lineRule="auto"/>
      </w:pPr>
      <w:r>
        <w:t>The OPR fully respects your right to privacy. Your personal data will be treated with the highest standards of security and confidentiality, in accordance with the General Data Protection Regulation (GDPR) and the Data Protection Act 2018 (“Data Protection Legislation”).</w:t>
      </w:r>
    </w:p>
    <w:p w14:paraId="7F17E47C" w14:textId="77777777" w:rsidR="003558EA" w:rsidRDefault="003558EA" w:rsidP="00D02037">
      <w:pPr>
        <w:spacing w:after="0" w:line="240" w:lineRule="auto"/>
      </w:pPr>
    </w:p>
    <w:p w14:paraId="52A55BC3" w14:textId="77777777" w:rsidR="003558EA" w:rsidRPr="00D02037" w:rsidRDefault="00FB25E2" w:rsidP="00D02037">
      <w:pPr>
        <w:pStyle w:val="Heading1"/>
        <w:numPr>
          <w:ilvl w:val="0"/>
          <w:numId w:val="3"/>
        </w:numPr>
        <w:jc w:val="left"/>
      </w:pPr>
      <w:r w:rsidRPr="00D02037">
        <w:t>How we use personal data</w:t>
      </w:r>
    </w:p>
    <w:p w14:paraId="2CBE2547" w14:textId="77777777" w:rsidR="003558EA" w:rsidRPr="001D3D87" w:rsidRDefault="003558EA" w:rsidP="00D02037">
      <w:pPr>
        <w:spacing w:after="0" w:line="240" w:lineRule="auto"/>
        <w:rPr>
          <w:b/>
          <w:sz w:val="28"/>
          <w:szCs w:val="28"/>
        </w:rPr>
      </w:pPr>
    </w:p>
    <w:p w14:paraId="15A8DBAE" w14:textId="77777777" w:rsidR="003558EA" w:rsidRDefault="00FB25E2" w:rsidP="00D02037">
      <w:pPr>
        <w:spacing w:after="0" w:line="240" w:lineRule="auto"/>
      </w:pPr>
      <w:r>
        <w:t xml:space="preserve">The OPR needs to process certain personal data </w:t>
      </w:r>
      <w:proofErr w:type="gramStart"/>
      <w:r>
        <w:t>in order to</w:t>
      </w:r>
      <w:proofErr w:type="gramEnd"/>
      <w:r>
        <w:t xml:space="preserve"> carry out tasks required </w:t>
      </w:r>
      <w:proofErr w:type="gramStart"/>
      <w:r>
        <w:t>in the course of</w:t>
      </w:r>
      <w:proofErr w:type="gramEnd"/>
      <w:r>
        <w:t xml:space="preserve"> the performance of </w:t>
      </w:r>
      <w:r w:rsidRPr="00AE5720">
        <w:t>the OPR’s functions and to comply with certain legal obligations to which the OPR is subject.</w:t>
      </w:r>
      <w:r>
        <w:t xml:space="preserve"> The OPR is the data controller in respect of this data.</w:t>
      </w:r>
    </w:p>
    <w:p w14:paraId="0A004F3F" w14:textId="77777777" w:rsidR="003558EA" w:rsidRDefault="003558EA" w:rsidP="00D02037">
      <w:pPr>
        <w:spacing w:after="0" w:line="240" w:lineRule="auto"/>
      </w:pPr>
    </w:p>
    <w:p w14:paraId="42033177" w14:textId="0AC86F85" w:rsidR="00D4080D" w:rsidRDefault="00FB25E2" w:rsidP="00D02037">
      <w:pPr>
        <w:spacing w:after="0" w:line="240" w:lineRule="auto"/>
      </w:pPr>
      <w:r>
        <w:t>Examples of this include</w:t>
      </w:r>
      <w:r w:rsidR="005A2143">
        <w:t>:</w:t>
      </w:r>
    </w:p>
    <w:p w14:paraId="304BDCE5" w14:textId="0E4066B1" w:rsidR="00E2588B" w:rsidRDefault="00E2588B" w:rsidP="00E2588B">
      <w:pPr>
        <w:spacing w:after="0" w:line="240" w:lineRule="auto"/>
      </w:pPr>
    </w:p>
    <w:p w14:paraId="5F0E2A52" w14:textId="75AC5858" w:rsidR="00E2588B" w:rsidRDefault="00E2588B" w:rsidP="00E2588B">
      <w:pPr>
        <w:pStyle w:val="ListParagraph"/>
        <w:numPr>
          <w:ilvl w:val="0"/>
          <w:numId w:val="10"/>
        </w:numPr>
        <w:spacing w:after="0" w:line="240" w:lineRule="auto"/>
      </w:pPr>
      <w:r>
        <w:t xml:space="preserve">processing name and email address </w:t>
      </w:r>
      <w:proofErr w:type="gramStart"/>
      <w:r>
        <w:t>in order to</w:t>
      </w:r>
      <w:proofErr w:type="gramEnd"/>
      <w:r>
        <w:t xml:space="preserve"> register attendees for the training webinar</w:t>
      </w:r>
      <w:r w:rsidR="0035496C">
        <w:t>,</w:t>
      </w:r>
      <w:r w:rsidR="00CB3AA3">
        <w:t xml:space="preserve"> and</w:t>
      </w:r>
    </w:p>
    <w:p w14:paraId="58BBFFB7" w14:textId="364E2964" w:rsidR="00BC08E8" w:rsidRDefault="00BC08E8" w:rsidP="00E2588B">
      <w:pPr>
        <w:pStyle w:val="ListParagraph"/>
        <w:numPr>
          <w:ilvl w:val="0"/>
          <w:numId w:val="10"/>
        </w:numPr>
        <w:spacing w:after="0" w:line="240" w:lineRule="auto"/>
      </w:pPr>
      <w:r>
        <w:t xml:space="preserve">processing name and email address of </w:t>
      </w:r>
      <w:r w:rsidR="000C36CD">
        <w:t xml:space="preserve">the </w:t>
      </w:r>
      <w:r>
        <w:t>presenter</w:t>
      </w:r>
      <w:r w:rsidR="00B11376">
        <w:t>/</w:t>
      </w:r>
      <w:r w:rsidR="00073338">
        <w:t>s</w:t>
      </w:r>
      <w:r w:rsidR="00D643DB">
        <w:t xml:space="preserve"> and any additional </w:t>
      </w:r>
      <w:r w:rsidR="00D629DA">
        <w:t xml:space="preserve">contributors </w:t>
      </w:r>
      <w:r w:rsidR="00D643DB">
        <w:t xml:space="preserve">who may join the Q&amp;A panel. </w:t>
      </w:r>
    </w:p>
    <w:p w14:paraId="13368914" w14:textId="77777777" w:rsidR="00E2588B" w:rsidRDefault="00E2588B" w:rsidP="00D02037">
      <w:pPr>
        <w:spacing w:after="0" w:line="240" w:lineRule="auto"/>
      </w:pPr>
    </w:p>
    <w:p w14:paraId="56F1D926" w14:textId="77777777" w:rsidR="00EF1453" w:rsidRDefault="00FB25E2" w:rsidP="00D02037">
      <w:pPr>
        <w:pStyle w:val="Heading1"/>
        <w:numPr>
          <w:ilvl w:val="0"/>
          <w:numId w:val="3"/>
        </w:numPr>
        <w:jc w:val="left"/>
      </w:pPr>
      <w:r>
        <w:t>Where we source personal data</w:t>
      </w:r>
    </w:p>
    <w:p w14:paraId="17246D89" w14:textId="77777777" w:rsidR="00EF1453" w:rsidRPr="0035496C" w:rsidRDefault="00EF1453" w:rsidP="00D02037">
      <w:pPr>
        <w:spacing w:after="0" w:line="240" w:lineRule="auto"/>
      </w:pPr>
    </w:p>
    <w:p w14:paraId="6B8AD55E" w14:textId="6F96B6F8" w:rsidR="00EF1453" w:rsidRPr="000C36CD" w:rsidRDefault="00FB25E2" w:rsidP="00D02037">
      <w:pPr>
        <w:spacing w:after="0" w:line="240" w:lineRule="auto"/>
      </w:pPr>
      <w:r w:rsidRPr="0035496C">
        <w:t>The OPR will</w:t>
      </w:r>
      <w:r w:rsidR="00D32809" w:rsidRPr="0035496C">
        <w:t xml:space="preserve"> generally</w:t>
      </w:r>
      <w:r w:rsidRPr="0035496C">
        <w:t xml:space="preserve"> receive personal data directly from the individual concerned. </w:t>
      </w:r>
      <w:r w:rsidR="00FD4399" w:rsidRPr="0035496C">
        <w:t xml:space="preserve">We will also source personal data from external </w:t>
      </w:r>
      <w:r w:rsidR="00CB3AA3">
        <w:t>speaker</w:t>
      </w:r>
      <w:r w:rsidR="00B11376">
        <w:t>/</w:t>
      </w:r>
      <w:r w:rsidR="00CB3AA3">
        <w:t xml:space="preserve">s </w:t>
      </w:r>
      <w:proofErr w:type="gramStart"/>
      <w:r w:rsidR="00FD4399" w:rsidRPr="0035496C">
        <w:t>in order to</w:t>
      </w:r>
      <w:proofErr w:type="gramEnd"/>
      <w:r w:rsidR="00FD4399" w:rsidRPr="0035496C">
        <w:t xml:space="preserve"> facilitate their participation in the event.</w:t>
      </w:r>
    </w:p>
    <w:p w14:paraId="4828649E" w14:textId="77777777" w:rsidR="003F1922" w:rsidRDefault="003F1922" w:rsidP="00D02037">
      <w:pPr>
        <w:spacing w:after="0" w:line="240" w:lineRule="auto"/>
      </w:pPr>
    </w:p>
    <w:p w14:paraId="50A8E9C6" w14:textId="77777777" w:rsidR="003F1922" w:rsidRDefault="003F1922" w:rsidP="003F1922">
      <w:pPr>
        <w:pStyle w:val="Heading1"/>
        <w:numPr>
          <w:ilvl w:val="0"/>
          <w:numId w:val="3"/>
        </w:numPr>
        <w:jc w:val="left"/>
      </w:pPr>
      <w:r w:rsidRPr="003F1922">
        <w:t>Purposes of the processing</w:t>
      </w:r>
    </w:p>
    <w:p w14:paraId="7B1D2BBD" w14:textId="77777777" w:rsidR="00A57838" w:rsidRDefault="00A57838" w:rsidP="00D02037">
      <w:pPr>
        <w:spacing w:after="0" w:line="240" w:lineRule="auto"/>
      </w:pPr>
    </w:p>
    <w:p w14:paraId="2923F78F" w14:textId="411A7B2C" w:rsidR="007C72BC" w:rsidRDefault="003F1922" w:rsidP="00D02037">
      <w:pPr>
        <w:spacing w:after="0" w:line="240" w:lineRule="auto"/>
      </w:pPr>
      <w:r w:rsidRPr="003F1922">
        <w:t xml:space="preserve">The </w:t>
      </w:r>
      <w:r>
        <w:t>OPR</w:t>
      </w:r>
      <w:r w:rsidRPr="003F1922">
        <w:t xml:space="preserve"> will use </w:t>
      </w:r>
      <w:r w:rsidR="00E321BE">
        <w:t>personal</w:t>
      </w:r>
      <w:r w:rsidR="00E321BE" w:rsidRPr="003F1922">
        <w:t xml:space="preserve"> </w:t>
      </w:r>
      <w:r w:rsidRPr="003F1922">
        <w:t xml:space="preserve">data </w:t>
      </w:r>
      <w:proofErr w:type="gramStart"/>
      <w:r w:rsidRPr="003F1922">
        <w:t xml:space="preserve">in order </w:t>
      </w:r>
      <w:r w:rsidR="001426D5">
        <w:t>to</w:t>
      </w:r>
      <w:proofErr w:type="gramEnd"/>
      <w:r w:rsidR="001426D5">
        <w:t>:</w:t>
      </w:r>
    </w:p>
    <w:p w14:paraId="63DCF334" w14:textId="77777777" w:rsidR="001426D5" w:rsidRDefault="001426D5" w:rsidP="00D02037">
      <w:pPr>
        <w:spacing w:after="0" w:line="240" w:lineRule="auto"/>
      </w:pPr>
    </w:p>
    <w:p w14:paraId="4DF4B22F" w14:textId="77777777" w:rsidR="00BC08E8" w:rsidRDefault="00E2588B" w:rsidP="00E2588B">
      <w:pPr>
        <w:pStyle w:val="ListParagraph"/>
        <w:numPr>
          <w:ilvl w:val="0"/>
          <w:numId w:val="10"/>
        </w:numPr>
        <w:spacing w:after="0" w:line="240" w:lineRule="auto"/>
      </w:pPr>
      <w:r>
        <w:t xml:space="preserve">allow attendees secure access to the </w:t>
      </w:r>
      <w:proofErr w:type="gramStart"/>
      <w:r>
        <w:t>webinar;</w:t>
      </w:r>
      <w:proofErr w:type="gramEnd"/>
      <w:r>
        <w:t xml:space="preserve"> </w:t>
      </w:r>
    </w:p>
    <w:p w14:paraId="0ABEB604" w14:textId="561DAFD3" w:rsidR="00E2588B" w:rsidRDefault="00BC08E8" w:rsidP="00EE36E8">
      <w:pPr>
        <w:pStyle w:val="ListParagraph"/>
        <w:numPr>
          <w:ilvl w:val="0"/>
          <w:numId w:val="10"/>
        </w:numPr>
        <w:spacing w:after="0" w:line="240" w:lineRule="auto"/>
      </w:pPr>
      <w:r>
        <w:t>liaise with</w:t>
      </w:r>
      <w:r w:rsidR="00837531">
        <w:t xml:space="preserve"> the</w:t>
      </w:r>
      <w:r>
        <w:t xml:space="preserve"> </w:t>
      </w:r>
      <w:r w:rsidR="00276860">
        <w:t>speaker</w:t>
      </w:r>
      <w:r w:rsidR="00B11376">
        <w:t>/</w:t>
      </w:r>
      <w:r w:rsidR="00276860">
        <w:t>s</w:t>
      </w:r>
      <w:r w:rsidR="00D629DA">
        <w:t xml:space="preserve"> and any additional contributors who may join the Q&amp;A element of the </w:t>
      </w:r>
      <w:proofErr w:type="gramStart"/>
      <w:r w:rsidR="00D629DA">
        <w:t>webinar</w:t>
      </w:r>
      <w:r w:rsidR="0035496C">
        <w:t>;</w:t>
      </w:r>
      <w:proofErr w:type="gramEnd"/>
    </w:p>
    <w:p w14:paraId="5BDB2D57" w14:textId="025E10D5" w:rsidR="00E2588B" w:rsidRDefault="00E2588B" w:rsidP="00E2588B">
      <w:pPr>
        <w:pStyle w:val="ListParagraph"/>
        <w:numPr>
          <w:ilvl w:val="0"/>
          <w:numId w:val="10"/>
        </w:numPr>
        <w:spacing w:after="0" w:line="240" w:lineRule="auto"/>
      </w:pPr>
      <w:r w:rsidRPr="00A5641C">
        <w:t>allow the OPR to circulate a feedback questionnaire/survey a</w:t>
      </w:r>
      <w:r w:rsidR="00EE36E8">
        <w:t>fter the webinar, if applicable; and</w:t>
      </w:r>
    </w:p>
    <w:p w14:paraId="41B93014" w14:textId="41ED52DB" w:rsidR="00EE36E8" w:rsidRDefault="00EE36E8" w:rsidP="00E2588B">
      <w:pPr>
        <w:pStyle w:val="ListParagraph"/>
        <w:numPr>
          <w:ilvl w:val="0"/>
          <w:numId w:val="10"/>
        </w:numPr>
        <w:spacing w:after="0" w:line="240" w:lineRule="auto"/>
      </w:pPr>
      <w:r>
        <w:t xml:space="preserve">share a link to the recording of the webinar, if requested to do so by parties who are not available to attend the webinar. </w:t>
      </w:r>
    </w:p>
    <w:p w14:paraId="5F73DEDC" w14:textId="77452A00" w:rsidR="00D4080D" w:rsidRDefault="00D4080D" w:rsidP="00D02037">
      <w:pPr>
        <w:spacing w:after="0" w:line="240" w:lineRule="auto"/>
      </w:pPr>
    </w:p>
    <w:p w14:paraId="7B398578" w14:textId="77777777" w:rsidR="003F1922" w:rsidRDefault="003F1922" w:rsidP="00D02037">
      <w:pPr>
        <w:spacing w:after="0" w:line="240" w:lineRule="auto"/>
      </w:pPr>
      <w:r w:rsidRPr="003F1922">
        <w:t xml:space="preserve">The </w:t>
      </w:r>
      <w:r>
        <w:t>OPR</w:t>
      </w:r>
      <w:r w:rsidRPr="003F1922">
        <w:t xml:space="preserve"> will not process your personal data for any purpose other than that for which it was collected.</w:t>
      </w:r>
    </w:p>
    <w:p w14:paraId="68C24DD8" w14:textId="77777777" w:rsidR="003F1922" w:rsidRDefault="003F1922" w:rsidP="00D02037">
      <w:pPr>
        <w:spacing w:after="0" w:line="240" w:lineRule="auto"/>
      </w:pPr>
    </w:p>
    <w:p w14:paraId="01313E0D" w14:textId="77777777" w:rsidR="003F1922" w:rsidRPr="008F1368" w:rsidRDefault="003F1922" w:rsidP="003F1922">
      <w:pPr>
        <w:pStyle w:val="Heading1"/>
        <w:numPr>
          <w:ilvl w:val="0"/>
          <w:numId w:val="3"/>
        </w:numPr>
        <w:jc w:val="left"/>
      </w:pPr>
      <w:r w:rsidRPr="008F1368">
        <w:t>Lawfulness of processing</w:t>
      </w:r>
    </w:p>
    <w:p w14:paraId="59261F62" w14:textId="77777777" w:rsidR="003F1922" w:rsidRDefault="003F1922" w:rsidP="00D02037">
      <w:pPr>
        <w:spacing w:after="0" w:line="240" w:lineRule="auto"/>
      </w:pPr>
    </w:p>
    <w:p w14:paraId="268EE851" w14:textId="2BACE589" w:rsidR="00843E2D" w:rsidRDefault="005A458B" w:rsidP="00D02037">
      <w:pPr>
        <w:spacing w:after="0" w:line="240" w:lineRule="auto"/>
      </w:pPr>
      <w:r>
        <w:t>Article 6 (1)</w:t>
      </w:r>
      <w:r w:rsidR="00420601">
        <w:t>(</w:t>
      </w:r>
      <w:r w:rsidR="00F320AC">
        <w:t>a</w:t>
      </w:r>
      <w:r w:rsidR="00420601">
        <w:t>)</w:t>
      </w:r>
      <w:r w:rsidR="008C3969">
        <w:t xml:space="preserve"> </w:t>
      </w:r>
      <w:r w:rsidR="002A3C85">
        <w:t xml:space="preserve">of the GDPR </w:t>
      </w:r>
      <w:r w:rsidR="008C3969">
        <w:t>allow</w:t>
      </w:r>
      <w:r w:rsidR="00F320AC">
        <w:t>s</w:t>
      </w:r>
      <w:r w:rsidR="008C3969">
        <w:t xml:space="preserve"> for the processing of this information. </w:t>
      </w:r>
      <w:r w:rsidR="00040C3B">
        <w:t xml:space="preserve">By signing up for the </w:t>
      </w:r>
      <w:r w:rsidR="00D32809">
        <w:t xml:space="preserve">online </w:t>
      </w:r>
      <w:r w:rsidR="00040C3B">
        <w:t xml:space="preserve">training event, attendees </w:t>
      </w:r>
      <w:r w:rsidR="00D82B82">
        <w:t xml:space="preserve">have </w:t>
      </w:r>
      <w:r w:rsidR="00040C3B">
        <w:t>give</w:t>
      </w:r>
      <w:r w:rsidR="00D82B82">
        <w:t>n</w:t>
      </w:r>
      <w:r w:rsidR="00040C3B">
        <w:t xml:space="preserve"> their consent to the OPR to use their data </w:t>
      </w:r>
      <w:r w:rsidR="00E321BE">
        <w:t>to register them for the event</w:t>
      </w:r>
      <w:r w:rsidR="00837531">
        <w:t xml:space="preserve">. In </w:t>
      </w:r>
      <w:r w:rsidR="00B11376">
        <w:t>addition,</w:t>
      </w:r>
      <w:r w:rsidR="00FD4399">
        <w:t xml:space="preserve"> by agreeing to deliver a presentation at the event</w:t>
      </w:r>
      <w:r w:rsidR="00837531">
        <w:t xml:space="preserve"> and contribute to the Q&amp;A element of the webinar t</w:t>
      </w:r>
      <w:r w:rsidR="00FD4399">
        <w:t xml:space="preserve">he </w:t>
      </w:r>
      <w:r w:rsidR="007D1063">
        <w:t>presenter</w:t>
      </w:r>
      <w:r w:rsidR="00075A85">
        <w:t>s</w:t>
      </w:r>
      <w:r w:rsidR="00D629DA">
        <w:t xml:space="preserve"> and contributors to the Q&amp;A element of the webinar</w:t>
      </w:r>
      <w:r w:rsidR="003976CD">
        <w:t xml:space="preserve"> </w:t>
      </w:r>
      <w:r w:rsidR="00FD4399">
        <w:t>ha</w:t>
      </w:r>
      <w:r w:rsidR="003976CD">
        <w:t>ve</w:t>
      </w:r>
      <w:r w:rsidR="00FD4399">
        <w:t xml:space="preserve"> given their consent to the OPR to use their data to facilitate their participation in the event.</w:t>
      </w:r>
    </w:p>
    <w:p w14:paraId="0B167551" w14:textId="4578C382" w:rsidR="00276860" w:rsidRDefault="00276860" w:rsidP="00D02037">
      <w:pPr>
        <w:spacing w:after="0" w:line="240" w:lineRule="auto"/>
      </w:pPr>
    </w:p>
    <w:p w14:paraId="328CFE19" w14:textId="77777777" w:rsidR="00B11376" w:rsidRDefault="00B11376" w:rsidP="00D02037">
      <w:pPr>
        <w:spacing w:after="0" w:line="240" w:lineRule="auto"/>
      </w:pPr>
    </w:p>
    <w:p w14:paraId="312633BA" w14:textId="77777777" w:rsidR="00B11376" w:rsidRDefault="00B11376" w:rsidP="00D02037">
      <w:pPr>
        <w:spacing w:after="0" w:line="240" w:lineRule="auto"/>
      </w:pPr>
    </w:p>
    <w:p w14:paraId="59AA08D8" w14:textId="77777777" w:rsidR="00B11376" w:rsidRDefault="00B11376" w:rsidP="00D02037">
      <w:pPr>
        <w:spacing w:after="0" w:line="240" w:lineRule="auto"/>
      </w:pPr>
    </w:p>
    <w:p w14:paraId="063B2A24" w14:textId="77777777" w:rsidR="003558EA" w:rsidRPr="00D02037" w:rsidRDefault="00FB25E2" w:rsidP="00D02037">
      <w:pPr>
        <w:pStyle w:val="ListParagraph"/>
        <w:numPr>
          <w:ilvl w:val="0"/>
          <w:numId w:val="3"/>
        </w:numPr>
        <w:spacing w:after="0" w:line="240" w:lineRule="auto"/>
        <w:rPr>
          <w:b/>
          <w:sz w:val="28"/>
          <w:szCs w:val="28"/>
        </w:rPr>
      </w:pPr>
      <w:r w:rsidRPr="00D02037">
        <w:rPr>
          <w:b/>
          <w:sz w:val="28"/>
          <w:szCs w:val="28"/>
        </w:rPr>
        <w:lastRenderedPageBreak/>
        <w:t>Recipients</w:t>
      </w:r>
    </w:p>
    <w:p w14:paraId="26CC5682" w14:textId="77777777" w:rsidR="003558EA" w:rsidRDefault="003558EA" w:rsidP="00D02037">
      <w:pPr>
        <w:spacing w:after="0" w:line="240" w:lineRule="auto"/>
      </w:pPr>
    </w:p>
    <w:p w14:paraId="70FAC1E3" w14:textId="6B22312A" w:rsidR="00075A85" w:rsidRDefault="00E2588B" w:rsidP="00D02037">
      <w:pPr>
        <w:spacing w:after="0" w:line="240" w:lineRule="auto"/>
      </w:pPr>
      <w:r>
        <w:t>Personal data will not be exchanged with any external organisations.</w:t>
      </w:r>
    </w:p>
    <w:p w14:paraId="4D5C4439" w14:textId="786CC644" w:rsidR="00611B20" w:rsidRDefault="00611B20" w:rsidP="00D02037">
      <w:pPr>
        <w:spacing w:after="0" w:line="240" w:lineRule="auto"/>
      </w:pPr>
    </w:p>
    <w:p w14:paraId="57DB056C" w14:textId="77777777" w:rsidR="003558EA" w:rsidRPr="00D02037" w:rsidRDefault="00FB25E2" w:rsidP="00D02037">
      <w:pPr>
        <w:pStyle w:val="ListParagraph"/>
        <w:numPr>
          <w:ilvl w:val="0"/>
          <w:numId w:val="3"/>
        </w:numPr>
        <w:spacing w:after="0" w:line="240" w:lineRule="auto"/>
        <w:rPr>
          <w:b/>
          <w:sz w:val="28"/>
          <w:szCs w:val="28"/>
        </w:rPr>
      </w:pPr>
      <w:r w:rsidRPr="00D02037">
        <w:rPr>
          <w:b/>
          <w:sz w:val="28"/>
          <w:szCs w:val="28"/>
        </w:rPr>
        <w:t xml:space="preserve">How long will we keep your data? </w:t>
      </w:r>
    </w:p>
    <w:p w14:paraId="086BF0B5" w14:textId="77777777" w:rsidR="003558EA" w:rsidRDefault="003558EA" w:rsidP="00D02037">
      <w:pPr>
        <w:spacing w:after="0" w:line="240" w:lineRule="auto"/>
      </w:pPr>
    </w:p>
    <w:p w14:paraId="2FFDF585" w14:textId="77777777" w:rsidR="00DF7A92" w:rsidRDefault="00FB25E2" w:rsidP="00D02037">
      <w:pPr>
        <w:spacing w:after="0" w:line="240" w:lineRule="auto"/>
      </w:pPr>
      <w:r w:rsidRPr="00A97D1E">
        <w:t xml:space="preserve">The OPR will only retain your personal data for as long as it is necessary for the purposes </w:t>
      </w:r>
      <w:r w:rsidR="005A458B" w:rsidRPr="00A97D1E">
        <w:t xml:space="preserve">for which it was </w:t>
      </w:r>
      <w:r w:rsidRPr="00A97D1E">
        <w:t>collected and subsequently processed, and in line with certain statutory requirements, where relevant. When the personal data that we collect is no longer required, we destroy or delete it in a secure manner.</w:t>
      </w:r>
      <w:r w:rsidR="00EC5658">
        <w:t xml:space="preserve">  </w:t>
      </w:r>
    </w:p>
    <w:p w14:paraId="3CC0B7C6" w14:textId="77777777" w:rsidR="00DF7A92" w:rsidRDefault="00DF7A92" w:rsidP="00D02037">
      <w:pPr>
        <w:spacing w:after="0" w:line="240" w:lineRule="auto"/>
      </w:pPr>
    </w:p>
    <w:p w14:paraId="4ABD0EA5" w14:textId="41DBA480" w:rsidR="001A17E6" w:rsidRPr="00D02037" w:rsidRDefault="00FB25E2" w:rsidP="00D02037">
      <w:pPr>
        <w:pStyle w:val="ListParagraph"/>
        <w:numPr>
          <w:ilvl w:val="0"/>
          <w:numId w:val="3"/>
        </w:numPr>
        <w:spacing w:after="0" w:line="240" w:lineRule="auto"/>
        <w:rPr>
          <w:b/>
          <w:sz w:val="28"/>
          <w:szCs w:val="28"/>
        </w:rPr>
      </w:pPr>
      <w:r w:rsidRPr="00D02037">
        <w:rPr>
          <w:b/>
          <w:sz w:val="28"/>
          <w:szCs w:val="28"/>
        </w:rPr>
        <w:t>Transfer of data outside the EEA</w:t>
      </w:r>
    </w:p>
    <w:p w14:paraId="51E7BA57" w14:textId="77777777" w:rsidR="001A17E6" w:rsidRDefault="001A17E6" w:rsidP="00D02037">
      <w:pPr>
        <w:spacing w:after="0" w:line="240" w:lineRule="auto"/>
      </w:pPr>
    </w:p>
    <w:p w14:paraId="41E472BF" w14:textId="77777777" w:rsidR="001A17E6" w:rsidRDefault="00FB25E2" w:rsidP="00D02037">
      <w:pPr>
        <w:spacing w:after="0" w:line="240" w:lineRule="auto"/>
      </w:pPr>
      <w:r>
        <w:t>The OPR currently does not tr</w:t>
      </w:r>
      <w:r w:rsidR="008D3A80">
        <w:t xml:space="preserve">ansfer personal data to a </w:t>
      </w:r>
      <w:r>
        <w:t xml:space="preserve">country or organisation outside of the EEA. In the event </w:t>
      </w:r>
      <w:r w:rsidR="004A0C35">
        <w:t xml:space="preserve">of </w:t>
      </w:r>
      <w:r>
        <w:t xml:space="preserve">such a transfer, appropriate safeguards will be put in place. </w:t>
      </w:r>
    </w:p>
    <w:p w14:paraId="7412ECBD" w14:textId="77777777" w:rsidR="001A17E6" w:rsidRDefault="001A17E6" w:rsidP="00D02037">
      <w:pPr>
        <w:spacing w:after="0" w:line="240" w:lineRule="auto"/>
        <w:rPr>
          <w:b/>
          <w:sz w:val="28"/>
          <w:szCs w:val="28"/>
        </w:rPr>
      </w:pPr>
    </w:p>
    <w:p w14:paraId="15110952" w14:textId="2242929A" w:rsidR="003558EA" w:rsidRPr="00D02037" w:rsidRDefault="00FB25E2" w:rsidP="00D02037">
      <w:pPr>
        <w:pStyle w:val="ListParagraph"/>
        <w:numPr>
          <w:ilvl w:val="0"/>
          <w:numId w:val="3"/>
        </w:numPr>
        <w:spacing w:after="0" w:line="240" w:lineRule="auto"/>
        <w:rPr>
          <w:b/>
          <w:sz w:val="28"/>
          <w:szCs w:val="28"/>
        </w:rPr>
      </w:pPr>
      <w:r w:rsidRPr="00D02037">
        <w:rPr>
          <w:b/>
          <w:sz w:val="28"/>
          <w:szCs w:val="28"/>
        </w:rPr>
        <w:t xml:space="preserve">Data </w:t>
      </w:r>
      <w:r w:rsidR="00E321BE">
        <w:rPr>
          <w:b/>
          <w:sz w:val="28"/>
          <w:szCs w:val="28"/>
        </w:rPr>
        <w:t>s</w:t>
      </w:r>
      <w:r w:rsidRPr="00D02037">
        <w:rPr>
          <w:b/>
          <w:sz w:val="28"/>
          <w:szCs w:val="28"/>
        </w:rPr>
        <w:t>ecurity</w:t>
      </w:r>
    </w:p>
    <w:p w14:paraId="499F4F9A" w14:textId="77777777" w:rsidR="003558EA" w:rsidRPr="00395C53" w:rsidRDefault="003558EA" w:rsidP="00D02037">
      <w:pPr>
        <w:spacing w:after="0" w:line="240" w:lineRule="auto"/>
        <w:rPr>
          <w:b/>
        </w:rPr>
      </w:pPr>
    </w:p>
    <w:p w14:paraId="7FBDA55A" w14:textId="77777777" w:rsidR="003558EA" w:rsidRDefault="00FB25E2" w:rsidP="00D02037">
      <w:pPr>
        <w:spacing w:after="0" w:line="240" w:lineRule="auto"/>
      </w:pPr>
      <w:r>
        <w:t>The OPR is committed to protecting and respecting your privacy and employs appropriate technical and organisational measures to protect your information from unauthorised access.</w:t>
      </w:r>
      <w:r w:rsidR="00EC5658">
        <w:t xml:space="preserve">  </w:t>
      </w:r>
    </w:p>
    <w:p w14:paraId="297D68CE" w14:textId="77777777" w:rsidR="003558EA" w:rsidRDefault="003558EA" w:rsidP="00D02037">
      <w:pPr>
        <w:spacing w:after="0" w:line="240" w:lineRule="auto"/>
      </w:pPr>
    </w:p>
    <w:p w14:paraId="4B2A6B18" w14:textId="77777777" w:rsidR="003558EA" w:rsidRPr="00D02037" w:rsidRDefault="00FB25E2" w:rsidP="00D02037">
      <w:pPr>
        <w:pStyle w:val="ListParagraph"/>
        <w:numPr>
          <w:ilvl w:val="0"/>
          <w:numId w:val="3"/>
        </w:numPr>
        <w:spacing w:after="0" w:line="240" w:lineRule="auto"/>
        <w:rPr>
          <w:b/>
          <w:sz w:val="28"/>
          <w:szCs w:val="28"/>
        </w:rPr>
      </w:pPr>
      <w:r w:rsidRPr="00D02037">
        <w:rPr>
          <w:b/>
          <w:sz w:val="28"/>
          <w:szCs w:val="28"/>
        </w:rPr>
        <w:t>Your rights</w:t>
      </w:r>
    </w:p>
    <w:p w14:paraId="355B63C4" w14:textId="77777777" w:rsidR="003558EA" w:rsidRPr="00395C53" w:rsidRDefault="003558EA" w:rsidP="00D02037">
      <w:pPr>
        <w:spacing w:after="0" w:line="240" w:lineRule="auto"/>
        <w:rPr>
          <w:b/>
        </w:rPr>
      </w:pPr>
    </w:p>
    <w:p w14:paraId="0E0F2D33" w14:textId="77777777" w:rsidR="00382ADE" w:rsidRDefault="00FB25E2" w:rsidP="00D02037">
      <w:pPr>
        <w:spacing w:after="0" w:line="240" w:lineRule="auto"/>
      </w:pPr>
      <w:r>
        <w:t xml:space="preserve">Data subjects have </w:t>
      </w:r>
      <w:proofErr w:type="gramStart"/>
      <w:r>
        <w:t>a number of</w:t>
      </w:r>
      <w:proofErr w:type="gramEnd"/>
      <w:r>
        <w:t xml:space="preserve"> rights in relation to personal data shared with the OPR:</w:t>
      </w:r>
    </w:p>
    <w:p w14:paraId="7745AC94" w14:textId="77777777" w:rsidR="00382ADE" w:rsidRDefault="00382ADE" w:rsidP="00D02037">
      <w:pPr>
        <w:spacing w:after="0" w:line="240" w:lineRule="auto"/>
      </w:pPr>
    </w:p>
    <w:p w14:paraId="2F2F123E" w14:textId="07FF251D" w:rsidR="00B11376" w:rsidRDefault="00FB25E2" w:rsidP="00D02037">
      <w:pPr>
        <w:spacing w:after="0" w:line="240" w:lineRule="auto"/>
        <w:ind w:left="720" w:hanging="720"/>
      </w:pPr>
      <w:r>
        <w:t>•</w:t>
      </w:r>
      <w:r>
        <w:tab/>
        <w:t>Access to personal information: Data subjects can ask us for a copy of the personal information we hold. Data subjects can ask us about how we collect, share and use personal information.</w:t>
      </w:r>
      <w:r w:rsidR="00AB3ED2" w:rsidRPr="00AB3ED2">
        <w:t xml:space="preserve"> To access a copy of the personal data held by the OPR, in relation to you, please make a Subject Access Request</w:t>
      </w:r>
      <w:r w:rsidR="00B11376">
        <w:t xml:space="preserve"> </w:t>
      </w:r>
      <w:r w:rsidR="00B11376" w:rsidRPr="00B11376">
        <w:t xml:space="preserve">using the following form: </w:t>
      </w:r>
      <w:hyperlink r:id="rId13" w:history="1">
        <w:r w:rsidR="00B11376" w:rsidRPr="00C16160">
          <w:rPr>
            <w:rStyle w:val="Hyperlink"/>
          </w:rPr>
          <w:t>https://www.opr.ie/wp-content/uploads/2024/05/Subject-Access-Request-Form.pdf</w:t>
        </w:r>
      </w:hyperlink>
      <w:r w:rsidR="00B11376">
        <w:t xml:space="preserve"> </w:t>
      </w:r>
    </w:p>
    <w:p w14:paraId="19BEDC30" w14:textId="77777777" w:rsidR="00382ADE" w:rsidRDefault="00FB25E2" w:rsidP="00D02037">
      <w:pPr>
        <w:spacing w:after="0" w:line="240" w:lineRule="auto"/>
      </w:pPr>
      <w:r>
        <w:t>•</w:t>
      </w:r>
      <w:r>
        <w:tab/>
        <w:t>Updating and correcting personal details.</w:t>
      </w:r>
    </w:p>
    <w:p w14:paraId="4A11DC87" w14:textId="77777777" w:rsidR="00382ADE" w:rsidRDefault="00FB25E2" w:rsidP="00D02037">
      <w:pPr>
        <w:spacing w:after="0" w:line="240" w:lineRule="auto"/>
        <w:ind w:left="720" w:hanging="720"/>
      </w:pPr>
      <w:r>
        <w:t>•</w:t>
      </w:r>
      <w:r>
        <w:tab/>
        <w:t>Removing consent: Data subjects can change their minds wherever they give consent, such as for direct marketing, or using sensitive information.</w:t>
      </w:r>
    </w:p>
    <w:p w14:paraId="2A45FEA3" w14:textId="77777777" w:rsidR="00382ADE" w:rsidRDefault="00FB25E2" w:rsidP="00D02037">
      <w:pPr>
        <w:spacing w:after="0" w:line="240" w:lineRule="auto"/>
        <w:ind w:left="720" w:hanging="720"/>
      </w:pPr>
      <w:r>
        <w:t>•</w:t>
      </w:r>
      <w:r>
        <w:tab/>
        <w:t>Restricting and objecting: Data subjects may have the right to restrict or object to the OPR using personal information or using automated decision making.</w:t>
      </w:r>
    </w:p>
    <w:p w14:paraId="5A4673A7" w14:textId="77777777" w:rsidR="00382ADE" w:rsidRDefault="00FB25E2" w:rsidP="00D02037">
      <w:pPr>
        <w:spacing w:after="0" w:line="240" w:lineRule="auto"/>
        <w:ind w:left="720" w:hanging="720"/>
      </w:pPr>
      <w:r>
        <w:t>•</w:t>
      </w:r>
      <w:r>
        <w:tab/>
        <w:t>Deleting information (right to be forgotten). Data subjects may ask the OPR to delete personal information.</w:t>
      </w:r>
    </w:p>
    <w:p w14:paraId="5BCFAF99" w14:textId="6EFED816" w:rsidR="00382ADE" w:rsidRDefault="00FB25E2" w:rsidP="00D02037">
      <w:pPr>
        <w:spacing w:after="0" w:line="240" w:lineRule="auto"/>
        <w:ind w:left="720" w:hanging="720"/>
      </w:pPr>
      <w:r>
        <w:t>•</w:t>
      </w:r>
      <w:r>
        <w:tab/>
        <w:t>Moving information (right to</w:t>
      </w:r>
      <w:r w:rsidR="00E321BE">
        <w:t xml:space="preserve"> data</w:t>
      </w:r>
      <w:r>
        <w:t xml:space="preserve"> </w:t>
      </w:r>
      <w:r w:rsidR="00E321BE">
        <w:t>p</w:t>
      </w:r>
      <w:r>
        <w:t>ortability). Where possible the OPR can share a digital copy of your information directly with you or another organisation.</w:t>
      </w:r>
    </w:p>
    <w:p w14:paraId="499069EE" w14:textId="77777777" w:rsidR="00382ADE" w:rsidRDefault="00FB25E2" w:rsidP="00D02037">
      <w:pPr>
        <w:spacing w:after="0" w:line="240" w:lineRule="auto"/>
      </w:pPr>
      <w:r>
        <w:t xml:space="preserve"> </w:t>
      </w:r>
    </w:p>
    <w:p w14:paraId="443CB823" w14:textId="77777777" w:rsidR="00382ADE" w:rsidRDefault="00FB25E2" w:rsidP="00D02037">
      <w:pPr>
        <w:spacing w:after="0" w:line="240" w:lineRule="auto"/>
      </w:pPr>
      <w:r>
        <w:t xml:space="preserve">If a data subject wishes to exercise any data rights, </w:t>
      </w:r>
      <w:r w:rsidR="008D3A80">
        <w:t xml:space="preserve">they should </w:t>
      </w:r>
      <w:r>
        <w:t xml:space="preserve">refer to the Data Protection Officer.  </w:t>
      </w:r>
    </w:p>
    <w:p w14:paraId="6870E709" w14:textId="77777777" w:rsidR="00382ADE" w:rsidRDefault="00382ADE" w:rsidP="00D02037">
      <w:pPr>
        <w:spacing w:after="0" w:line="240" w:lineRule="auto"/>
      </w:pPr>
    </w:p>
    <w:p w14:paraId="4E5C39AE" w14:textId="651202FF" w:rsidR="003558EA" w:rsidRDefault="00FB25E2" w:rsidP="00D02037">
      <w:pPr>
        <w:spacing w:after="0" w:line="240" w:lineRule="auto"/>
      </w:pPr>
      <w:r>
        <w:t>You also have the right to complain to the Ir</w:t>
      </w:r>
      <w:r w:rsidR="008D3A80">
        <w:t xml:space="preserve">ish Data Protection Commission </w:t>
      </w:r>
      <w:r w:rsidR="008D3A80">
        <w:t>(</w:t>
      </w:r>
      <w:hyperlink r:id="rId14" w:history="1">
        <w:r w:rsidRPr="00E63605">
          <w:rPr>
            <w:rStyle w:val="Hyperlink"/>
          </w:rPr>
          <w:t>www.dataprotection.ie</w:t>
        </w:r>
      </w:hyperlink>
      <w:r w:rsidR="008D3A80">
        <w:t xml:space="preserve"> </w:t>
      </w:r>
      <w:r>
        <w:t xml:space="preserve">link is external) </w:t>
      </w:r>
      <w:r>
        <w:t>if you consider that your rights under GDPR have been infringed, and you have the right to seek a judicial remedy.</w:t>
      </w:r>
    </w:p>
    <w:p w14:paraId="1FD5011E" w14:textId="7B0E6D91" w:rsidR="00B56ECD" w:rsidRDefault="00B56ECD">
      <w:r>
        <w:br w:type="page"/>
      </w:r>
    </w:p>
    <w:p w14:paraId="738E4989" w14:textId="77777777" w:rsidR="002932C6" w:rsidRDefault="002932C6" w:rsidP="00D02037">
      <w:pPr>
        <w:spacing w:after="0" w:line="240" w:lineRule="auto"/>
      </w:pPr>
    </w:p>
    <w:p w14:paraId="667F149F" w14:textId="40BC3472" w:rsidR="003558EA" w:rsidRDefault="00FB25E2" w:rsidP="00D02037">
      <w:pPr>
        <w:spacing w:after="0" w:line="240" w:lineRule="auto"/>
        <w:rPr>
          <w:b/>
          <w:sz w:val="28"/>
          <w:szCs w:val="28"/>
        </w:rPr>
      </w:pPr>
      <w:r w:rsidRPr="001D3D87">
        <w:rPr>
          <w:b/>
          <w:sz w:val="28"/>
          <w:szCs w:val="28"/>
        </w:rPr>
        <w:t xml:space="preserve">Contacting </w:t>
      </w:r>
      <w:r w:rsidR="00E321BE">
        <w:rPr>
          <w:b/>
          <w:sz w:val="28"/>
          <w:szCs w:val="28"/>
        </w:rPr>
        <w:t>u</w:t>
      </w:r>
      <w:r w:rsidRPr="001D3D87">
        <w:rPr>
          <w:b/>
          <w:sz w:val="28"/>
          <w:szCs w:val="28"/>
        </w:rPr>
        <w:t>s</w:t>
      </w:r>
    </w:p>
    <w:p w14:paraId="3446FCC4" w14:textId="77777777" w:rsidR="003558EA" w:rsidRPr="001D3D87" w:rsidRDefault="003558EA" w:rsidP="00D02037">
      <w:pPr>
        <w:spacing w:after="0" w:line="240" w:lineRule="auto"/>
        <w:rPr>
          <w:b/>
          <w:sz w:val="28"/>
          <w:szCs w:val="28"/>
        </w:rPr>
      </w:pPr>
    </w:p>
    <w:p w14:paraId="225BBF5A" w14:textId="6B0257F8" w:rsidR="003558EA" w:rsidRDefault="00FB25E2" w:rsidP="00D02037">
      <w:pPr>
        <w:spacing w:after="0" w:line="240" w:lineRule="auto"/>
      </w:pPr>
      <w:r>
        <w:t>If you require further information, please contact the OPR’s Data Protection Officer, contact details are provided below:</w:t>
      </w:r>
    </w:p>
    <w:p w14:paraId="34C8927F" w14:textId="77777777" w:rsidR="003558EA" w:rsidRDefault="003558EA" w:rsidP="00D02037">
      <w:pPr>
        <w:spacing w:after="0" w:line="240" w:lineRule="auto"/>
      </w:pPr>
    </w:p>
    <w:p w14:paraId="0DA8F1D3" w14:textId="77777777" w:rsidR="003558EA" w:rsidRDefault="00FB25E2" w:rsidP="00D02037">
      <w:pPr>
        <w:spacing w:after="0" w:line="240" w:lineRule="auto"/>
      </w:pPr>
      <w:r>
        <w:t>Data Protection Officer,</w:t>
      </w:r>
    </w:p>
    <w:p w14:paraId="2551DD68" w14:textId="77777777" w:rsidR="003558EA" w:rsidRDefault="00FB25E2" w:rsidP="00D02037">
      <w:pPr>
        <w:spacing w:after="0" w:line="240" w:lineRule="auto"/>
      </w:pPr>
      <w:r>
        <w:t>Office of the Planning Regulator,</w:t>
      </w:r>
    </w:p>
    <w:p w14:paraId="4B23974C" w14:textId="77777777" w:rsidR="005667D0" w:rsidRDefault="005667D0" w:rsidP="00D02037">
      <w:pPr>
        <w:spacing w:after="0" w:line="240" w:lineRule="auto"/>
      </w:pPr>
      <w:r w:rsidRPr="005667D0">
        <w:t xml:space="preserve">Park House, </w:t>
      </w:r>
    </w:p>
    <w:p w14:paraId="2F702A95" w14:textId="77777777" w:rsidR="005667D0" w:rsidRDefault="005667D0" w:rsidP="00D02037">
      <w:pPr>
        <w:spacing w:after="0" w:line="240" w:lineRule="auto"/>
      </w:pPr>
      <w:r w:rsidRPr="005667D0">
        <w:t>191-193A North Circular Road,</w:t>
      </w:r>
    </w:p>
    <w:p w14:paraId="7D1E6626" w14:textId="77777777" w:rsidR="005667D0" w:rsidRDefault="005667D0" w:rsidP="00D02037">
      <w:pPr>
        <w:spacing w:after="0" w:line="240" w:lineRule="auto"/>
      </w:pPr>
      <w:r w:rsidRPr="005667D0">
        <w:t xml:space="preserve">Dublin 7, </w:t>
      </w:r>
    </w:p>
    <w:p w14:paraId="1241BFB6" w14:textId="77777777" w:rsidR="005667D0" w:rsidRDefault="005667D0" w:rsidP="00D02037">
      <w:pPr>
        <w:spacing w:after="0" w:line="240" w:lineRule="auto"/>
      </w:pPr>
      <w:r w:rsidRPr="005667D0">
        <w:t xml:space="preserve">D07 EWV4 </w:t>
      </w:r>
    </w:p>
    <w:p w14:paraId="7F645EFD" w14:textId="77777777" w:rsidR="003558EA" w:rsidRDefault="00FB25E2" w:rsidP="00D02037">
      <w:pPr>
        <w:spacing w:after="0" w:line="240" w:lineRule="auto"/>
        <w:rPr>
          <w:color w:val="0563C1"/>
        </w:rPr>
      </w:pPr>
      <w:r>
        <w:t xml:space="preserve">Email: </w:t>
      </w:r>
      <w:hyperlink r:id="rId15" w:history="1">
        <w:r w:rsidRPr="002A148E">
          <w:rPr>
            <w:rStyle w:val="Hyperlink"/>
          </w:rPr>
          <w:t>dataprotection@opr.ie</w:t>
        </w:r>
      </w:hyperlink>
    </w:p>
    <w:p w14:paraId="489D00C1" w14:textId="77777777" w:rsidR="003558EA" w:rsidRDefault="00FB25E2" w:rsidP="00D02037">
      <w:pPr>
        <w:spacing w:after="0" w:line="240" w:lineRule="auto"/>
      </w:pPr>
      <w:r>
        <w:t>Telephone: +353 (0</w:t>
      </w:r>
      <w:r w:rsidR="008D3A80">
        <w:t>1</w:t>
      </w:r>
      <w:r w:rsidR="00187EE0">
        <w:t xml:space="preserve">) </w:t>
      </w:r>
      <w:r w:rsidR="00187EE0" w:rsidRPr="00187EE0">
        <w:t>854 6700</w:t>
      </w:r>
    </w:p>
    <w:p w14:paraId="1BF64B23" w14:textId="152817C6" w:rsidR="00D02037" w:rsidRPr="000A22B4" w:rsidRDefault="00D02037" w:rsidP="00D02037">
      <w:pPr>
        <w:spacing w:line="240" w:lineRule="auto"/>
        <w:rPr>
          <w:color w:val="000000"/>
        </w:rPr>
      </w:pPr>
    </w:p>
    <w:tbl>
      <w:tblPr>
        <w:tblStyle w:val="ListTable4-Accent51"/>
        <w:tblW w:w="0" w:type="auto"/>
        <w:tblInd w:w="5" w:type="dxa"/>
        <w:tblLook w:val="04A0" w:firstRow="1" w:lastRow="0" w:firstColumn="1" w:lastColumn="0" w:noHBand="0" w:noVBand="1"/>
      </w:tblPr>
      <w:tblGrid>
        <w:gridCol w:w="1252"/>
        <w:gridCol w:w="1349"/>
        <w:gridCol w:w="1613"/>
        <w:gridCol w:w="2213"/>
        <w:gridCol w:w="2584"/>
      </w:tblGrid>
      <w:tr w:rsidR="00D02037" w14:paraId="6B2BC06C" w14:textId="77777777" w:rsidTr="00C40431">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252" w:type="dxa"/>
            <w:tcBorders>
              <w:right w:val="nil"/>
            </w:tcBorders>
            <w:hideMark/>
          </w:tcPr>
          <w:p w14:paraId="52AD46C5" w14:textId="77777777" w:rsidR="00D02037" w:rsidRPr="00DF05A1" w:rsidRDefault="00D02037" w:rsidP="00D02037">
            <w:pPr>
              <w:rPr>
                <w:rFonts w:asciiTheme="minorHAnsi" w:hAnsiTheme="minorHAnsi"/>
                <w:color w:val="000000"/>
              </w:rPr>
            </w:pPr>
            <w:r w:rsidRPr="00DF05A1">
              <w:rPr>
                <w:color w:val="000000" w:themeColor="text1"/>
              </w:rPr>
              <w:t>Version</w:t>
            </w:r>
          </w:p>
        </w:tc>
        <w:tc>
          <w:tcPr>
            <w:tcW w:w="1349" w:type="dxa"/>
            <w:tcBorders>
              <w:left w:val="nil"/>
              <w:right w:val="nil"/>
            </w:tcBorders>
            <w:hideMark/>
          </w:tcPr>
          <w:p w14:paraId="5C80D13A" w14:textId="77777777" w:rsidR="00D02037" w:rsidRPr="00DF05A1" w:rsidRDefault="00D02037" w:rsidP="00D0203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DF05A1">
              <w:rPr>
                <w:color w:val="000000" w:themeColor="text1"/>
              </w:rPr>
              <w:t>Date of Change</w:t>
            </w:r>
          </w:p>
        </w:tc>
        <w:tc>
          <w:tcPr>
            <w:tcW w:w="1613" w:type="dxa"/>
            <w:tcBorders>
              <w:left w:val="nil"/>
              <w:right w:val="nil"/>
            </w:tcBorders>
            <w:hideMark/>
          </w:tcPr>
          <w:p w14:paraId="54E779DB" w14:textId="77777777" w:rsidR="00D02037" w:rsidRPr="00DF05A1" w:rsidRDefault="00D02037" w:rsidP="00D0203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DF05A1">
              <w:rPr>
                <w:color w:val="000000" w:themeColor="text1"/>
              </w:rPr>
              <w:t>Author</w:t>
            </w:r>
          </w:p>
        </w:tc>
        <w:tc>
          <w:tcPr>
            <w:tcW w:w="2213" w:type="dxa"/>
            <w:tcBorders>
              <w:left w:val="nil"/>
              <w:right w:val="nil"/>
            </w:tcBorders>
            <w:hideMark/>
          </w:tcPr>
          <w:p w14:paraId="4F3AB3F4" w14:textId="77777777" w:rsidR="00D02037" w:rsidRPr="00DF05A1" w:rsidRDefault="00D02037" w:rsidP="00D0203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DF05A1">
              <w:rPr>
                <w:color w:val="000000" w:themeColor="text1"/>
              </w:rPr>
              <w:t>Reviewer</w:t>
            </w:r>
          </w:p>
        </w:tc>
        <w:tc>
          <w:tcPr>
            <w:tcW w:w="2584" w:type="dxa"/>
            <w:tcBorders>
              <w:left w:val="nil"/>
            </w:tcBorders>
            <w:hideMark/>
          </w:tcPr>
          <w:p w14:paraId="1A1678FA" w14:textId="77777777" w:rsidR="00D02037" w:rsidRPr="00DF05A1" w:rsidRDefault="00D02037" w:rsidP="00D0203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rPr>
            </w:pPr>
            <w:r w:rsidRPr="00DF05A1">
              <w:rPr>
                <w:color w:val="000000" w:themeColor="text1"/>
              </w:rPr>
              <w:t>Summary of Change</w:t>
            </w:r>
          </w:p>
        </w:tc>
      </w:tr>
      <w:tr w:rsidR="00420A24" w14:paraId="7DC7A215" w14:textId="77777777" w:rsidTr="00420A2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252" w:type="dxa"/>
            <w:tcBorders>
              <w:top w:val="single" w:sz="4" w:space="0" w:color="8EAADB" w:themeColor="accent5" w:themeTint="99"/>
              <w:left w:val="single" w:sz="4" w:space="0" w:color="8EAADB" w:themeColor="accent5" w:themeTint="99"/>
              <w:bottom w:val="single" w:sz="4" w:space="0" w:color="8EAADB" w:themeColor="accent5" w:themeTint="99"/>
              <w:right w:val="nil"/>
            </w:tcBorders>
            <w:shd w:val="clear" w:color="auto" w:fill="D5DCE4" w:themeFill="text2" w:themeFillTint="33"/>
          </w:tcPr>
          <w:p w14:paraId="7275E9C6" w14:textId="6EA203BA" w:rsidR="00420A24" w:rsidRPr="00DF05A1" w:rsidRDefault="00420A24" w:rsidP="00420A24">
            <w:pPr>
              <w:pStyle w:val="Heading1"/>
              <w:jc w:val="left"/>
              <w:rPr>
                <w:color w:val="000000" w:themeColor="text1"/>
                <w:sz w:val="24"/>
                <w:szCs w:val="24"/>
              </w:rPr>
            </w:pPr>
            <w:r w:rsidRPr="00DF05A1">
              <w:rPr>
                <w:color w:val="000000" w:themeColor="text1"/>
                <w:sz w:val="24"/>
                <w:szCs w:val="24"/>
              </w:rPr>
              <w:t>1.</w:t>
            </w:r>
          </w:p>
        </w:tc>
        <w:tc>
          <w:tcPr>
            <w:tcW w:w="1349" w:type="dxa"/>
            <w:tcBorders>
              <w:top w:val="single" w:sz="4" w:space="0" w:color="8EAADB" w:themeColor="accent5" w:themeTint="99"/>
              <w:left w:val="nil"/>
              <w:bottom w:val="single" w:sz="4" w:space="0" w:color="8EAADB" w:themeColor="accent5" w:themeTint="99"/>
              <w:right w:val="nil"/>
            </w:tcBorders>
            <w:shd w:val="clear" w:color="auto" w:fill="D5DCE4" w:themeFill="text2" w:themeFillTint="33"/>
          </w:tcPr>
          <w:p w14:paraId="30965208" w14:textId="3CB5F77F" w:rsidR="00420A24" w:rsidRPr="003A4C9D" w:rsidRDefault="00F00A49" w:rsidP="00420A24">
            <w:pPr>
              <w:pStyle w:val="Heading1"/>
              <w:jc w:val="left"/>
              <w:cnfStyle w:val="000000100000" w:firstRow="0" w:lastRow="0" w:firstColumn="0" w:lastColumn="0" w:oddVBand="0" w:evenVBand="0" w:oddHBand="1" w:evenHBand="0" w:firstRowFirstColumn="0" w:firstRowLastColumn="0" w:lastRowFirstColumn="0" w:lastRowLastColumn="0"/>
              <w:rPr>
                <w:b w:val="0"/>
                <w:bCs/>
                <w:color w:val="000000" w:themeColor="text1"/>
                <w:sz w:val="20"/>
                <w:szCs w:val="20"/>
              </w:rPr>
            </w:pPr>
            <w:r w:rsidRPr="003A4C9D">
              <w:rPr>
                <w:b w:val="0"/>
                <w:bCs/>
                <w:color w:val="000000" w:themeColor="text1"/>
                <w:sz w:val="20"/>
                <w:szCs w:val="20"/>
              </w:rPr>
              <w:t>13</w:t>
            </w:r>
            <w:r w:rsidR="00046DBB" w:rsidRPr="003A4C9D">
              <w:rPr>
                <w:b w:val="0"/>
                <w:bCs/>
                <w:color w:val="000000" w:themeColor="text1"/>
                <w:sz w:val="20"/>
                <w:szCs w:val="20"/>
              </w:rPr>
              <w:t>/</w:t>
            </w:r>
            <w:r w:rsidRPr="003A4C9D">
              <w:rPr>
                <w:b w:val="0"/>
                <w:bCs/>
                <w:color w:val="000000" w:themeColor="text1"/>
                <w:sz w:val="20"/>
                <w:szCs w:val="20"/>
              </w:rPr>
              <w:t>11</w:t>
            </w:r>
            <w:r w:rsidR="00046DBB" w:rsidRPr="003A4C9D">
              <w:rPr>
                <w:b w:val="0"/>
                <w:bCs/>
                <w:color w:val="000000" w:themeColor="text1"/>
                <w:sz w:val="20"/>
                <w:szCs w:val="20"/>
              </w:rPr>
              <w:t>/</w:t>
            </w:r>
            <w:r w:rsidRPr="003A4C9D">
              <w:rPr>
                <w:b w:val="0"/>
                <w:bCs/>
                <w:color w:val="000000" w:themeColor="text1"/>
                <w:sz w:val="20"/>
                <w:szCs w:val="20"/>
              </w:rPr>
              <w:t>2025</w:t>
            </w:r>
          </w:p>
        </w:tc>
        <w:tc>
          <w:tcPr>
            <w:tcW w:w="1613" w:type="dxa"/>
            <w:tcBorders>
              <w:top w:val="single" w:sz="4" w:space="0" w:color="8EAADB" w:themeColor="accent5" w:themeTint="99"/>
              <w:left w:val="nil"/>
              <w:bottom w:val="single" w:sz="4" w:space="0" w:color="8EAADB" w:themeColor="accent5" w:themeTint="99"/>
              <w:right w:val="nil"/>
            </w:tcBorders>
            <w:shd w:val="clear" w:color="auto" w:fill="D5DCE4" w:themeFill="text2" w:themeFillTint="33"/>
          </w:tcPr>
          <w:p w14:paraId="11D5D58D" w14:textId="15DDBF87" w:rsidR="00420A24" w:rsidRPr="003A4C9D" w:rsidRDefault="00F00A49" w:rsidP="00420A24">
            <w:pPr>
              <w:pStyle w:val="Heading1"/>
              <w:jc w:val="left"/>
              <w:cnfStyle w:val="000000100000" w:firstRow="0" w:lastRow="0" w:firstColumn="0" w:lastColumn="0" w:oddVBand="0" w:evenVBand="0" w:oddHBand="1" w:evenHBand="0" w:firstRowFirstColumn="0" w:firstRowLastColumn="0" w:lastRowFirstColumn="0" w:lastRowLastColumn="0"/>
              <w:rPr>
                <w:b w:val="0"/>
                <w:bCs/>
                <w:color w:val="000000" w:themeColor="text1"/>
                <w:sz w:val="20"/>
                <w:szCs w:val="20"/>
              </w:rPr>
            </w:pPr>
            <w:r w:rsidRPr="003A4C9D">
              <w:rPr>
                <w:b w:val="0"/>
                <w:bCs/>
                <w:color w:val="000000" w:themeColor="text1"/>
                <w:sz w:val="20"/>
                <w:szCs w:val="20"/>
              </w:rPr>
              <w:t>COC</w:t>
            </w:r>
          </w:p>
        </w:tc>
        <w:tc>
          <w:tcPr>
            <w:tcW w:w="2213" w:type="dxa"/>
            <w:tcBorders>
              <w:top w:val="single" w:sz="4" w:space="0" w:color="8EAADB" w:themeColor="accent5" w:themeTint="99"/>
              <w:left w:val="nil"/>
              <w:bottom w:val="single" w:sz="4" w:space="0" w:color="8EAADB" w:themeColor="accent5" w:themeTint="99"/>
              <w:right w:val="nil"/>
            </w:tcBorders>
            <w:shd w:val="clear" w:color="auto" w:fill="D5DCE4" w:themeFill="text2" w:themeFillTint="33"/>
          </w:tcPr>
          <w:p w14:paraId="536E3120" w14:textId="3AEE7A1B" w:rsidR="00420A24" w:rsidRPr="003A4C9D" w:rsidRDefault="00420A24" w:rsidP="00420A24">
            <w:pPr>
              <w:pStyle w:val="Heading1"/>
              <w:jc w:val="left"/>
              <w:cnfStyle w:val="000000100000" w:firstRow="0" w:lastRow="0" w:firstColumn="0" w:lastColumn="0" w:oddVBand="0" w:evenVBand="0" w:oddHBand="1" w:evenHBand="0" w:firstRowFirstColumn="0" w:firstRowLastColumn="0" w:lastRowFirstColumn="0" w:lastRowLastColumn="0"/>
              <w:rPr>
                <w:rFonts w:cs="Times New Roman"/>
                <w:b w:val="0"/>
                <w:bCs/>
                <w:color w:val="000000"/>
                <w:sz w:val="24"/>
                <w:szCs w:val="24"/>
              </w:rPr>
            </w:pPr>
          </w:p>
        </w:tc>
        <w:tc>
          <w:tcPr>
            <w:tcW w:w="2584" w:type="dxa"/>
            <w:tcBorders>
              <w:top w:val="single" w:sz="4" w:space="0" w:color="8EAADB" w:themeColor="accent5" w:themeTint="99"/>
              <w:left w:val="nil"/>
              <w:bottom w:val="single" w:sz="4" w:space="0" w:color="8EAADB" w:themeColor="accent5" w:themeTint="99"/>
              <w:right w:val="single" w:sz="4" w:space="0" w:color="8EAADB" w:themeColor="accent5" w:themeTint="99"/>
            </w:tcBorders>
            <w:shd w:val="clear" w:color="auto" w:fill="D5DCE4" w:themeFill="text2" w:themeFillTint="33"/>
          </w:tcPr>
          <w:p w14:paraId="455F8D97" w14:textId="7025654F" w:rsidR="00420A24" w:rsidRPr="003A4C9D" w:rsidRDefault="00D629DA" w:rsidP="00420A24">
            <w:pPr>
              <w:cnfStyle w:val="000000100000" w:firstRow="0" w:lastRow="0" w:firstColumn="0" w:lastColumn="0" w:oddVBand="0" w:evenVBand="0" w:oddHBand="1" w:evenHBand="0" w:firstRowFirstColumn="0" w:firstRowLastColumn="0" w:lastRowFirstColumn="0" w:lastRowLastColumn="0"/>
              <w:rPr>
                <w:bCs/>
                <w:color w:val="000000" w:themeColor="text1"/>
              </w:rPr>
            </w:pPr>
            <w:r w:rsidRPr="003A4C9D">
              <w:rPr>
                <w:bCs/>
                <w:color w:val="000000" w:themeColor="text1"/>
              </w:rPr>
              <w:t>Creation</w:t>
            </w:r>
          </w:p>
        </w:tc>
      </w:tr>
    </w:tbl>
    <w:p w14:paraId="47332FE7" w14:textId="77777777" w:rsidR="00D02037" w:rsidRDefault="00D02037" w:rsidP="00D02037">
      <w:pPr>
        <w:spacing w:after="0" w:line="240" w:lineRule="auto"/>
      </w:pPr>
    </w:p>
    <w:p w14:paraId="11C186CA" w14:textId="77777777" w:rsidR="0071794B" w:rsidRDefault="0071794B" w:rsidP="00D02037"/>
    <w:p w14:paraId="485CAD01" w14:textId="77777777" w:rsidR="00D02037" w:rsidRDefault="00D02037" w:rsidP="00D02037"/>
    <w:sectPr w:rsidR="00D02037" w:rsidSect="003558EA">
      <w:footerReference w:type="default" r:id="rId16"/>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2004" w14:textId="77777777" w:rsidR="00B453CC" w:rsidRDefault="00B453CC" w:rsidP="003F4377">
      <w:pPr>
        <w:spacing w:after="0" w:line="240" w:lineRule="auto"/>
      </w:pPr>
      <w:r>
        <w:separator/>
      </w:r>
    </w:p>
  </w:endnote>
  <w:endnote w:type="continuationSeparator" w:id="0">
    <w:p w14:paraId="3F957BB9" w14:textId="77777777" w:rsidR="00B453CC" w:rsidRDefault="00B453CC" w:rsidP="003F4377">
      <w:pPr>
        <w:spacing w:after="0" w:line="240" w:lineRule="auto"/>
      </w:pPr>
      <w:r>
        <w:continuationSeparator/>
      </w:r>
    </w:p>
  </w:endnote>
  <w:endnote w:type="continuationNotice" w:id="1">
    <w:p w14:paraId="09C52F50" w14:textId="77777777" w:rsidR="00B453CC" w:rsidRDefault="00B45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8305"/>
      <w:docPartObj>
        <w:docPartGallery w:val="Page Numbers (Bottom of Page)"/>
        <w:docPartUnique/>
      </w:docPartObj>
    </w:sdtPr>
    <w:sdtEndPr>
      <w:rPr>
        <w:noProof/>
      </w:rPr>
    </w:sdtEndPr>
    <w:sdtContent>
      <w:p w14:paraId="64A384DF" w14:textId="1FD575F9" w:rsidR="00874206" w:rsidRDefault="00874206">
        <w:pPr>
          <w:pStyle w:val="Footer"/>
          <w:jc w:val="right"/>
        </w:pPr>
        <w:r>
          <w:fldChar w:fldCharType="begin"/>
        </w:r>
        <w:r>
          <w:instrText xml:space="preserve"> PAGE   \* MERGEFORMAT </w:instrText>
        </w:r>
        <w:r>
          <w:fldChar w:fldCharType="separate"/>
        </w:r>
        <w:r w:rsidR="00D629DA">
          <w:rPr>
            <w:noProof/>
          </w:rPr>
          <w:t>4</w:t>
        </w:r>
        <w:r>
          <w:rPr>
            <w:noProof/>
          </w:rPr>
          <w:fldChar w:fldCharType="end"/>
        </w:r>
      </w:p>
    </w:sdtContent>
  </w:sdt>
  <w:p w14:paraId="702D5CBD" w14:textId="77777777" w:rsidR="00874206" w:rsidRDefault="0087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9757" w14:textId="77777777" w:rsidR="00B453CC" w:rsidRDefault="00B453CC" w:rsidP="003F4377">
      <w:pPr>
        <w:spacing w:after="0" w:line="240" w:lineRule="auto"/>
      </w:pPr>
      <w:r>
        <w:separator/>
      </w:r>
    </w:p>
  </w:footnote>
  <w:footnote w:type="continuationSeparator" w:id="0">
    <w:p w14:paraId="1F9593C6" w14:textId="77777777" w:rsidR="00B453CC" w:rsidRDefault="00B453CC" w:rsidP="003F4377">
      <w:pPr>
        <w:spacing w:after="0" w:line="240" w:lineRule="auto"/>
      </w:pPr>
      <w:r>
        <w:continuationSeparator/>
      </w:r>
    </w:p>
  </w:footnote>
  <w:footnote w:type="continuationNotice" w:id="1">
    <w:p w14:paraId="2DE97EFB" w14:textId="77777777" w:rsidR="00B453CC" w:rsidRDefault="00B453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9E6"/>
    <w:multiLevelType w:val="hybridMultilevel"/>
    <w:tmpl w:val="B2088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89E5DAA"/>
    <w:multiLevelType w:val="hybridMultilevel"/>
    <w:tmpl w:val="98649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C6D66E9"/>
    <w:multiLevelType w:val="hybridMultilevel"/>
    <w:tmpl w:val="9C144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6822A8"/>
    <w:multiLevelType w:val="hybridMultilevel"/>
    <w:tmpl w:val="99003E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80F34FA"/>
    <w:multiLevelType w:val="hybridMultilevel"/>
    <w:tmpl w:val="0C486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B0470F1"/>
    <w:multiLevelType w:val="hybridMultilevel"/>
    <w:tmpl w:val="6972A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BA5063F"/>
    <w:multiLevelType w:val="hybridMultilevel"/>
    <w:tmpl w:val="BB4031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6F504D7"/>
    <w:multiLevelType w:val="hybridMultilevel"/>
    <w:tmpl w:val="BB8A0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662686E"/>
    <w:multiLevelType w:val="hybridMultilevel"/>
    <w:tmpl w:val="28D25D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75B24E5"/>
    <w:multiLevelType w:val="hybridMultilevel"/>
    <w:tmpl w:val="BAA00FCA"/>
    <w:lvl w:ilvl="0" w:tplc="35EABDD0">
      <w:start w:val="1"/>
      <w:numFmt w:val="decimal"/>
      <w:lvlText w:val="%1."/>
      <w:lvlJc w:val="left"/>
      <w:pPr>
        <w:ind w:left="720" w:hanging="360"/>
      </w:pPr>
      <w:rPr>
        <w:b/>
      </w:rPr>
    </w:lvl>
    <w:lvl w:ilvl="1" w:tplc="7C4A8452" w:tentative="1">
      <w:start w:val="1"/>
      <w:numFmt w:val="lowerLetter"/>
      <w:lvlText w:val="%2."/>
      <w:lvlJc w:val="left"/>
      <w:pPr>
        <w:ind w:left="1440" w:hanging="360"/>
      </w:pPr>
    </w:lvl>
    <w:lvl w:ilvl="2" w:tplc="DE4C82B0" w:tentative="1">
      <w:start w:val="1"/>
      <w:numFmt w:val="lowerRoman"/>
      <w:lvlText w:val="%3."/>
      <w:lvlJc w:val="right"/>
      <w:pPr>
        <w:ind w:left="2160" w:hanging="180"/>
      </w:pPr>
    </w:lvl>
    <w:lvl w:ilvl="3" w:tplc="3D5A1136" w:tentative="1">
      <w:start w:val="1"/>
      <w:numFmt w:val="decimal"/>
      <w:lvlText w:val="%4."/>
      <w:lvlJc w:val="left"/>
      <w:pPr>
        <w:ind w:left="2880" w:hanging="360"/>
      </w:pPr>
    </w:lvl>
    <w:lvl w:ilvl="4" w:tplc="90907010" w:tentative="1">
      <w:start w:val="1"/>
      <w:numFmt w:val="lowerLetter"/>
      <w:lvlText w:val="%5."/>
      <w:lvlJc w:val="left"/>
      <w:pPr>
        <w:ind w:left="3600" w:hanging="360"/>
      </w:pPr>
    </w:lvl>
    <w:lvl w:ilvl="5" w:tplc="765AD968" w:tentative="1">
      <w:start w:val="1"/>
      <w:numFmt w:val="lowerRoman"/>
      <w:lvlText w:val="%6."/>
      <w:lvlJc w:val="right"/>
      <w:pPr>
        <w:ind w:left="4320" w:hanging="180"/>
      </w:pPr>
    </w:lvl>
    <w:lvl w:ilvl="6" w:tplc="E3D64B52" w:tentative="1">
      <w:start w:val="1"/>
      <w:numFmt w:val="decimal"/>
      <w:lvlText w:val="%7."/>
      <w:lvlJc w:val="left"/>
      <w:pPr>
        <w:ind w:left="5040" w:hanging="360"/>
      </w:pPr>
    </w:lvl>
    <w:lvl w:ilvl="7" w:tplc="05B67EF2" w:tentative="1">
      <w:start w:val="1"/>
      <w:numFmt w:val="lowerLetter"/>
      <w:lvlText w:val="%8."/>
      <w:lvlJc w:val="left"/>
      <w:pPr>
        <w:ind w:left="5760" w:hanging="360"/>
      </w:pPr>
    </w:lvl>
    <w:lvl w:ilvl="8" w:tplc="6DCA3AB0" w:tentative="1">
      <w:start w:val="1"/>
      <w:numFmt w:val="lowerRoman"/>
      <w:lvlText w:val="%9."/>
      <w:lvlJc w:val="right"/>
      <w:pPr>
        <w:ind w:left="6480" w:hanging="180"/>
      </w:pPr>
    </w:lvl>
  </w:abstractNum>
  <w:num w:numId="1" w16cid:durableId="1179780977">
    <w:abstractNumId w:val="1"/>
  </w:num>
  <w:num w:numId="2" w16cid:durableId="876965079">
    <w:abstractNumId w:val="9"/>
  </w:num>
  <w:num w:numId="3" w16cid:durableId="375396567">
    <w:abstractNumId w:val="6"/>
  </w:num>
  <w:num w:numId="4" w16cid:durableId="61409688">
    <w:abstractNumId w:val="8"/>
  </w:num>
  <w:num w:numId="5" w16cid:durableId="1483428806">
    <w:abstractNumId w:val="2"/>
  </w:num>
  <w:num w:numId="6" w16cid:durableId="498036562">
    <w:abstractNumId w:val="7"/>
  </w:num>
  <w:num w:numId="7" w16cid:durableId="200485185">
    <w:abstractNumId w:val="0"/>
  </w:num>
  <w:num w:numId="8" w16cid:durableId="608515321">
    <w:abstractNumId w:val="4"/>
  </w:num>
  <w:num w:numId="9" w16cid:durableId="731267571">
    <w:abstractNumId w:val="3"/>
  </w:num>
  <w:num w:numId="10" w16cid:durableId="1777482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19"/>
    <w:rsid w:val="00025310"/>
    <w:rsid w:val="0002594E"/>
    <w:rsid w:val="00034717"/>
    <w:rsid w:val="00040539"/>
    <w:rsid w:val="00040C3B"/>
    <w:rsid w:val="00046DBB"/>
    <w:rsid w:val="00060073"/>
    <w:rsid w:val="00070CA1"/>
    <w:rsid w:val="00073338"/>
    <w:rsid w:val="00075A85"/>
    <w:rsid w:val="00081798"/>
    <w:rsid w:val="000939CF"/>
    <w:rsid w:val="000B69D1"/>
    <w:rsid w:val="000C36CD"/>
    <w:rsid w:val="000C4E73"/>
    <w:rsid w:val="000D2FEF"/>
    <w:rsid w:val="000E1EA4"/>
    <w:rsid w:val="000E2C9D"/>
    <w:rsid w:val="00107EEB"/>
    <w:rsid w:val="00122AD5"/>
    <w:rsid w:val="001426D5"/>
    <w:rsid w:val="00187EE0"/>
    <w:rsid w:val="001A0E79"/>
    <w:rsid w:val="001A17E6"/>
    <w:rsid w:val="001D3D87"/>
    <w:rsid w:val="001F0350"/>
    <w:rsid w:val="001F6F0E"/>
    <w:rsid w:val="00214272"/>
    <w:rsid w:val="0024009E"/>
    <w:rsid w:val="0024413E"/>
    <w:rsid w:val="002549B2"/>
    <w:rsid w:val="0026758B"/>
    <w:rsid w:val="00276860"/>
    <w:rsid w:val="002932C6"/>
    <w:rsid w:val="002A148E"/>
    <w:rsid w:val="002A3C85"/>
    <w:rsid w:val="002A3DF9"/>
    <w:rsid w:val="002D7ADD"/>
    <w:rsid w:val="002F492B"/>
    <w:rsid w:val="00306743"/>
    <w:rsid w:val="0035496C"/>
    <w:rsid w:val="003558EA"/>
    <w:rsid w:val="00376F30"/>
    <w:rsid w:val="00382ADE"/>
    <w:rsid w:val="00395C53"/>
    <w:rsid w:val="003976CD"/>
    <w:rsid w:val="003A0CB5"/>
    <w:rsid w:val="003A0D8E"/>
    <w:rsid w:val="003A12D6"/>
    <w:rsid w:val="003A1DA2"/>
    <w:rsid w:val="003A4C9D"/>
    <w:rsid w:val="003F1528"/>
    <w:rsid w:val="003F1922"/>
    <w:rsid w:val="003F4377"/>
    <w:rsid w:val="003F6B05"/>
    <w:rsid w:val="00420601"/>
    <w:rsid w:val="00420A24"/>
    <w:rsid w:val="00420DF6"/>
    <w:rsid w:val="00461E83"/>
    <w:rsid w:val="00470327"/>
    <w:rsid w:val="00494529"/>
    <w:rsid w:val="004A0C35"/>
    <w:rsid w:val="004A3E1B"/>
    <w:rsid w:val="004D1D92"/>
    <w:rsid w:val="004E2896"/>
    <w:rsid w:val="004F5E3A"/>
    <w:rsid w:val="00502788"/>
    <w:rsid w:val="00503391"/>
    <w:rsid w:val="0052314F"/>
    <w:rsid w:val="00552AD7"/>
    <w:rsid w:val="00561C7C"/>
    <w:rsid w:val="005667D0"/>
    <w:rsid w:val="005A1C4A"/>
    <w:rsid w:val="005A2143"/>
    <w:rsid w:val="005A458B"/>
    <w:rsid w:val="005B0CE6"/>
    <w:rsid w:val="005C4409"/>
    <w:rsid w:val="005D6856"/>
    <w:rsid w:val="005D7BA0"/>
    <w:rsid w:val="005F133F"/>
    <w:rsid w:val="00604FDF"/>
    <w:rsid w:val="00611B20"/>
    <w:rsid w:val="0064115B"/>
    <w:rsid w:val="00657A4B"/>
    <w:rsid w:val="00686CFE"/>
    <w:rsid w:val="00687485"/>
    <w:rsid w:val="006B03F9"/>
    <w:rsid w:val="006E1D9A"/>
    <w:rsid w:val="006E6106"/>
    <w:rsid w:val="0071794B"/>
    <w:rsid w:val="00720D7F"/>
    <w:rsid w:val="007223C7"/>
    <w:rsid w:val="00723B03"/>
    <w:rsid w:val="0075459B"/>
    <w:rsid w:val="007566BE"/>
    <w:rsid w:val="00757E4C"/>
    <w:rsid w:val="007831A5"/>
    <w:rsid w:val="00794EDF"/>
    <w:rsid w:val="007B3C1E"/>
    <w:rsid w:val="007C6019"/>
    <w:rsid w:val="007C72BC"/>
    <w:rsid w:val="007D1063"/>
    <w:rsid w:val="007D4341"/>
    <w:rsid w:val="007F0316"/>
    <w:rsid w:val="007F6AA6"/>
    <w:rsid w:val="008261F8"/>
    <w:rsid w:val="00826CE1"/>
    <w:rsid w:val="00826FB7"/>
    <w:rsid w:val="00837531"/>
    <w:rsid w:val="00841BB0"/>
    <w:rsid w:val="00843E2D"/>
    <w:rsid w:val="00852D19"/>
    <w:rsid w:val="00854FD6"/>
    <w:rsid w:val="00874206"/>
    <w:rsid w:val="0087789F"/>
    <w:rsid w:val="00881482"/>
    <w:rsid w:val="00886327"/>
    <w:rsid w:val="00897BB9"/>
    <w:rsid w:val="008C3969"/>
    <w:rsid w:val="008D3A80"/>
    <w:rsid w:val="008E7467"/>
    <w:rsid w:val="008F0746"/>
    <w:rsid w:val="008F1368"/>
    <w:rsid w:val="009139D7"/>
    <w:rsid w:val="00916679"/>
    <w:rsid w:val="009179AF"/>
    <w:rsid w:val="00945DE9"/>
    <w:rsid w:val="00986636"/>
    <w:rsid w:val="009B6AAC"/>
    <w:rsid w:val="009E13F4"/>
    <w:rsid w:val="00A10292"/>
    <w:rsid w:val="00A17580"/>
    <w:rsid w:val="00A303E7"/>
    <w:rsid w:val="00A528D6"/>
    <w:rsid w:val="00A546B9"/>
    <w:rsid w:val="00A5641C"/>
    <w:rsid w:val="00A57838"/>
    <w:rsid w:val="00A803A7"/>
    <w:rsid w:val="00A83E49"/>
    <w:rsid w:val="00A85466"/>
    <w:rsid w:val="00A97D1E"/>
    <w:rsid w:val="00A97D5D"/>
    <w:rsid w:val="00AA525D"/>
    <w:rsid w:val="00AB3ED2"/>
    <w:rsid w:val="00AC4930"/>
    <w:rsid w:val="00AE5720"/>
    <w:rsid w:val="00B10549"/>
    <w:rsid w:val="00B11008"/>
    <w:rsid w:val="00B11376"/>
    <w:rsid w:val="00B21497"/>
    <w:rsid w:val="00B27F4D"/>
    <w:rsid w:val="00B41668"/>
    <w:rsid w:val="00B453CC"/>
    <w:rsid w:val="00B56ECD"/>
    <w:rsid w:val="00B73BCC"/>
    <w:rsid w:val="00BA1C01"/>
    <w:rsid w:val="00BB5A13"/>
    <w:rsid w:val="00BC08E8"/>
    <w:rsid w:val="00BC78EF"/>
    <w:rsid w:val="00BD0917"/>
    <w:rsid w:val="00C054F9"/>
    <w:rsid w:val="00C25083"/>
    <w:rsid w:val="00C3795E"/>
    <w:rsid w:val="00C40431"/>
    <w:rsid w:val="00C44BA4"/>
    <w:rsid w:val="00C509C5"/>
    <w:rsid w:val="00C66EEF"/>
    <w:rsid w:val="00C9441E"/>
    <w:rsid w:val="00C97F79"/>
    <w:rsid w:val="00CB3AA3"/>
    <w:rsid w:val="00CE6E02"/>
    <w:rsid w:val="00D02037"/>
    <w:rsid w:val="00D159E2"/>
    <w:rsid w:val="00D1733A"/>
    <w:rsid w:val="00D325CF"/>
    <w:rsid w:val="00D32809"/>
    <w:rsid w:val="00D32E2B"/>
    <w:rsid w:val="00D4080D"/>
    <w:rsid w:val="00D41805"/>
    <w:rsid w:val="00D629DA"/>
    <w:rsid w:val="00D643DB"/>
    <w:rsid w:val="00D73F30"/>
    <w:rsid w:val="00D82B82"/>
    <w:rsid w:val="00D96C40"/>
    <w:rsid w:val="00DB3812"/>
    <w:rsid w:val="00DD0864"/>
    <w:rsid w:val="00DE2ABD"/>
    <w:rsid w:val="00DF6B70"/>
    <w:rsid w:val="00DF7A92"/>
    <w:rsid w:val="00E0049D"/>
    <w:rsid w:val="00E10297"/>
    <w:rsid w:val="00E17213"/>
    <w:rsid w:val="00E2588B"/>
    <w:rsid w:val="00E321BE"/>
    <w:rsid w:val="00E33E4D"/>
    <w:rsid w:val="00E55D60"/>
    <w:rsid w:val="00E63605"/>
    <w:rsid w:val="00E84CC5"/>
    <w:rsid w:val="00E87EFD"/>
    <w:rsid w:val="00E92828"/>
    <w:rsid w:val="00E92E6D"/>
    <w:rsid w:val="00EC0BE6"/>
    <w:rsid w:val="00EC5658"/>
    <w:rsid w:val="00ED61A5"/>
    <w:rsid w:val="00EE36E8"/>
    <w:rsid w:val="00EF0B6E"/>
    <w:rsid w:val="00EF1453"/>
    <w:rsid w:val="00EF5536"/>
    <w:rsid w:val="00F00A49"/>
    <w:rsid w:val="00F04B1F"/>
    <w:rsid w:val="00F05C6B"/>
    <w:rsid w:val="00F12FA3"/>
    <w:rsid w:val="00F15771"/>
    <w:rsid w:val="00F277C6"/>
    <w:rsid w:val="00F320AC"/>
    <w:rsid w:val="00F33657"/>
    <w:rsid w:val="00F35424"/>
    <w:rsid w:val="00F5638B"/>
    <w:rsid w:val="00F8233F"/>
    <w:rsid w:val="00FA2893"/>
    <w:rsid w:val="00FB1E10"/>
    <w:rsid w:val="00FB25E2"/>
    <w:rsid w:val="00FB2E0E"/>
    <w:rsid w:val="00FC256B"/>
    <w:rsid w:val="00FC2EF2"/>
    <w:rsid w:val="00FC5413"/>
    <w:rsid w:val="00FC6472"/>
    <w:rsid w:val="00FD12B6"/>
    <w:rsid w:val="00FD4399"/>
    <w:rsid w:val="00FD6A98"/>
    <w:rsid w:val="00FE4679"/>
    <w:rsid w:val="00FF3134"/>
    <w:rsid w:val="00FF7131"/>
    <w:rsid w:val="6AA41292"/>
    <w:rsid w:val="704BF8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D251"/>
  <w15:docId w15:val="{E79DDFA3-D4C1-403F-9787-0B1316BE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8EA"/>
  </w:style>
  <w:style w:type="paragraph" w:styleId="Heading1">
    <w:name w:val="heading 1"/>
    <w:basedOn w:val="Normal"/>
    <w:next w:val="Normal"/>
    <w:link w:val="Heading1Char"/>
    <w:uiPriority w:val="9"/>
    <w:qFormat/>
    <w:rsid w:val="00D02037"/>
    <w:pPr>
      <w:autoSpaceDE w:val="0"/>
      <w:autoSpaceDN w:val="0"/>
      <w:adjustRightInd w:val="0"/>
      <w:spacing w:after="0" w:line="240" w:lineRule="auto"/>
      <w:jc w:val="both"/>
      <w:outlineLvl w:val="0"/>
    </w:pPr>
    <w:rPr>
      <w:rFonts w:cstheme="minorHAnsi"/>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8EA"/>
    <w:rPr>
      <w:color w:val="0563C1" w:themeColor="hyperlink"/>
      <w:u w:val="single"/>
    </w:rPr>
  </w:style>
  <w:style w:type="paragraph" w:styleId="NoSpacing">
    <w:name w:val="No Spacing"/>
    <w:uiPriority w:val="1"/>
    <w:qFormat/>
    <w:rsid w:val="003558EA"/>
    <w:pPr>
      <w:spacing w:after="0" w:line="240" w:lineRule="auto"/>
    </w:pPr>
  </w:style>
  <w:style w:type="table" w:styleId="TableGrid">
    <w:name w:val="Table Grid"/>
    <w:basedOn w:val="TableNormal"/>
    <w:uiPriority w:val="39"/>
    <w:rsid w:val="0035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8EA"/>
    <w:rPr>
      <w:sz w:val="16"/>
      <w:szCs w:val="16"/>
    </w:rPr>
  </w:style>
  <w:style w:type="paragraph" w:styleId="CommentText">
    <w:name w:val="annotation text"/>
    <w:basedOn w:val="Normal"/>
    <w:link w:val="CommentTextChar"/>
    <w:uiPriority w:val="99"/>
    <w:unhideWhenUsed/>
    <w:rsid w:val="003558EA"/>
    <w:pPr>
      <w:spacing w:line="240" w:lineRule="auto"/>
    </w:pPr>
    <w:rPr>
      <w:sz w:val="20"/>
      <w:szCs w:val="20"/>
    </w:rPr>
  </w:style>
  <w:style w:type="character" w:customStyle="1" w:styleId="CommentTextChar">
    <w:name w:val="Comment Text Char"/>
    <w:basedOn w:val="DefaultParagraphFont"/>
    <w:link w:val="CommentText"/>
    <w:uiPriority w:val="99"/>
    <w:rsid w:val="003558EA"/>
    <w:rPr>
      <w:sz w:val="20"/>
      <w:szCs w:val="20"/>
    </w:rPr>
  </w:style>
  <w:style w:type="paragraph" w:styleId="BalloonText">
    <w:name w:val="Balloon Text"/>
    <w:basedOn w:val="Normal"/>
    <w:link w:val="BalloonTextChar"/>
    <w:uiPriority w:val="99"/>
    <w:semiHidden/>
    <w:unhideWhenUsed/>
    <w:rsid w:val="00355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E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58EA"/>
    <w:rPr>
      <w:b/>
      <w:bCs/>
    </w:rPr>
  </w:style>
  <w:style w:type="character" w:customStyle="1" w:styleId="CommentSubjectChar">
    <w:name w:val="Comment Subject Char"/>
    <w:basedOn w:val="CommentTextChar"/>
    <w:link w:val="CommentSubject"/>
    <w:uiPriority w:val="99"/>
    <w:semiHidden/>
    <w:rsid w:val="003558EA"/>
    <w:rPr>
      <w:b/>
      <w:bCs/>
      <w:sz w:val="20"/>
      <w:szCs w:val="20"/>
    </w:rPr>
  </w:style>
  <w:style w:type="paragraph" w:styleId="ListParagraph">
    <w:name w:val="List Paragraph"/>
    <w:basedOn w:val="Normal"/>
    <w:uiPriority w:val="34"/>
    <w:qFormat/>
    <w:rsid w:val="005A2143"/>
    <w:pPr>
      <w:ind w:left="720"/>
      <w:contextualSpacing/>
    </w:pPr>
  </w:style>
  <w:style w:type="character" w:customStyle="1" w:styleId="Heading1Char">
    <w:name w:val="Heading 1 Char"/>
    <w:basedOn w:val="DefaultParagraphFont"/>
    <w:link w:val="Heading1"/>
    <w:uiPriority w:val="9"/>
    <w:rsid w:val="00D02037"/>
    <w:rPr>
      <w:rFonts w:cstheme="minorHAnsi"/>
      <w:b/>
      <w:sz w:val="28"/>
      <w:szCs w:val="28"/>
      <w:lang w:val="en-US"/>
    </w:rPr>
  </w:style>
  <w:style w:type="table" w:customStyle="1" w:styleId="ListTable4-Accent51">
    <w:name w:val="List Table 4 - Accent 51"/>
    <w:basedOn w:val="TableNormal"/>
    <w:uiPriority w:val="49"/>
    <w:rsid w:val="00D02037"/>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Emphasis">
    <w:name w:val="Emphasis"/>
    <w:basedOn w:val="DefaultParagraphFont"/>
    <w:uiPriority w:val="20"/>
    <w:qFormat/>
    <w:rsid w:val="00D4080D"/>
    <w:rPr>
      <w:i/>
      <w:iCs/>
    </w:rPr>
  </w:style>
  <w:style w:type="paragraph" w:styleId="Header">
    <w:name w:val="header"/>
    <w:basedOn w:val="Normal"/>
    <w:link w:val="HeaderChar"/>
    <w:uiPriority w:val="99"/>
    <w:unhideWhenUsed/>
    <w:rsid w:val="003F4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377"/>
  </w:style>
  <w:style w:type="paragraph" w:styleId="Footer">
    <w:name w:val="footer"/>
    <w:basedOn w:val="Normal"/>
    <w:link w:val="FooterChar"/>
    <w:uiPriority w:val="99"/>
    <w:unhideWhenUsed/>
    <w:rsid w:val="003F4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377"/>
  </w:style>
  <w:style w:type="character" w:styleId="FollowedHyperlink">
    <w:name w:val="FollowedHyperlink"/>
    <w:basedOn w:val="DefaultParagraphFont"/>
    <w:uiPriority w:val="99"/>
    <w:semiHidden/>
    <w:unhideWhenUsed/>
    <w:rsid w:val="00070CA1"/>
    <w:rPr>
      <w:color w:val="954F72" w:themeColor="followedHyperlink"/>
      <w:u w:val="single"/>
    </w:rPr>
  </w:style>
  <w:style w:type="character" w:styleId="UnresolvedMention">
    <w:name w:val="Unresolved Mention"/>
    <w:basedOn w:val="DefaultParagraphFont"/>
    <w:uiPriority w:val="99"/>
    <w:semiHidden/>
    <w:unhideWhenUsed/>
    <w:rsid w:val="00B11376"/>
    <w:rPr>
      <w:color w:val="605E5C"/>
      <w:shd w:val="clear" w:color="auto" w:fill="E1DFDD"/>
    </w:rPr>
  </w:style>
  <w:style w:type="paragraph" w:styleId="Revision">
    <w:name w:val="Revision"/>
    <w:hidden/>
    <w:uiPriority w:val="99"/>
    <w:semiHidden/>
    <w:rsid w:val="00B11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r.ie/wp-content/uploads/2024/05/Subject-Access-Request-Form.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r.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opr.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ada5f9f0-6a22-4e13-926a-6e16c073a158">Live</eDocs_FileStatus>
    <TaxCatchAll xmlns="ada5f9f0-6a22-4e13-926a-6e16c073a158">
      <Value>8</Value>
      <Value>5</Value>
      <Value>3</Value>
      <Value>1</Value>
      <Value>7</Value>
    </TaxCatchAll>
    <eDocs_eFileName xmlns="ada5f9f0-6a22-4e13-926a-6e16c073a158">OPR005-001-2022</eDocs_eFileName>
    <mbbd3fafa5ab4e5eb8a6a5e099cef439 xmlns="ada5f9f0-6a22-4e13-926a-6e16c073a15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101a68fb-7e1c-440b-9bf6-e87dd5b1986c</TermId>
        </TermInfo>
      </Terms>
    </mbbd3fafa5ab4e5eb8a6a5e099cef439>
    <fbaa881fc4ae443f9fdafbdd527793df xmlns="ada5f9f0-6a22-4e13-926a-6e16c073a158">
      <Terms xmlns="http://schemas.microsoft.com/office/infopath/2007/PartnerControls"/>
    </fbaa881fc4ae443f9fdafbdd527793df>
    <nb1b8a72855341e18dd75ce464e281f2 xmlns="ada5f9f0-6a22-4e13-926a-6e16c073a15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c370b90f-72cd-4e80-992a-c1cb3d34543d</TermId>
        </TermInfo>
      </Terms>
    </nb1b8a72855341e18dd75ce464e281f2>
    <m02c691f3efa402dab5cbaa8c240a9e7 xmlns="ada5f9f0-6a22-4e13-926a-6e16c073a158">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1b1af86b-6e3d-427c-84a9-060c2646b42f</TermId>
        </TermInfo>
        <TermInfo xmlns="http://schemas.microsoft.com/office/infopath/2007/PartnerControls">
          <TermName xmlns="http://schemas.microsoft.com/office/infopath/2007/PartnerControls">#Administration</TermName>
          <TermId xmlns="http://schemas.microsoft.com/office/infopath/2007/PartnerControls">b6bd9f8c-289a-4f07-95a5-8cc076f5a2a5</TermId>
        </TermInfo>
      </Terms>
    </m02c691f3efa402dab5cbaa8c240a9e7>
    <_vti_ItemDeclaredRecord xmlns="ada5f9f0-6a22-4e13-926a-6e16c073a158" xsi:nil="true"/>
    <h1f8bb4843d6459a8b809123185593c7 xmlns="ada5f9f0-6a22-4e13-926a-6e16c073a158">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b6ca8734-42a7-4548-9818-5fdb49781e6d</TermId>
        </TermInfo>
      </Terms>
    </h1f8bb4843d6459a8b809123185593c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F39AAE44A6CE4F448E30CBE3F33F9E30" ma:contentTypeVersion="91" ma:contentTypeDescription="" ma:contentTypeScope="" ma:versionID="0058b2aa5e798f6d9bc8ce950ce19891">
  <xsd:schema xmlns:xsd="http://www.w3.org/2001/XMLSchema" xmlns:xs="http://www.w3.org/2001/XMLSchema" xmlns:p="http://schemas.microsoft.com/office/2006/metadata/properties" xmlns:ns2="ada5f9f0-6a22-4e13-926a-6e16c073a158" targetNamespace="http://schemas.microsoft.com/office/2006/metadata/properties" ma:root="true" ma:fieldsID="ce1e207ada8301532cae39eea8cb8cb9" ns2:_="">
    <xsd:import namespace="ada5f9f0-6a22-4e13-926a-6e16c073a15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5f9f0-6a22-4e13-926a-6e16c073a15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75826ea-1d6a-4207-a5e1-f04275787dde}" ma:internalName="TaxCatchAll" ma:showField="CatchAllData" ma:web="ada5f9f0-6a22-4e13-926a-6e16c073a1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5826ea-1d6a-4207-a5e1-f04275787dde}" ma:internalName="TaxCatchAllLabel" ma:readOnly="true" ma:showField="CatchAllDataLabel" ma:web="ada5f9f0-6a22-4e13-926a-6e16c073a15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b6ca8734-42a7-4548-9818-5fdb49781e6d" ma:fieldId="{11f8bb48-43d6-459a-8b80-9123185593c7}" ma:sspId="a670cb3b-ee33-41b5-a308-af6efb21ce0d" ma:termSetId="0b8da947-d7f3-44e8-a949-5dd3ca3a100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670cb3b-ee33-41b5-a308-af6efb21ce0d" ma:termSetId="ca6f0955-1185-4de9-8622-ee920177c42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670cb3b-ee33-41b5-a308-af6efb21ce0d" ma:termSetId="c7ef16b2-3260-453d-97fa-4cc385e5104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01a68fb-7e1c-440b-9bf6-e87dd5b1986c" ma:fieldId="{6bbd3faf-a5ab-4e5e-b8a6-a5e099cef439}" ma:sspId="a670cb3b-ee33-41b5-a308-af6efb21ce0d" ma:termSetId="fb52ee3d-2973-49d5-9473-e38129dac42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670cb3b-ee33-41b5-a308-af6efb21ce0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57494-DBB4-40B9-9E78-3702C882F9A3}">
  <ds:schemaRefs>
    <ds:schemaRef ds:uri="http://schemas.microsoft.com/office/2006/metadata/properties"/>
    <ds:schemaRef ds:uri="http://schemas.microsoft.com/office/infopath/2007/PartnerControls"/>
    <ds:schemaRef ds:uri="ada5f9f0-6a22-4e13-926a-6e16c073a158"/>
  </ds:schemaRefs>
</ds:datastoreItem>
</file>

<file path=customXml/itemProps2.xml><?xml version="1.0" encoding="utf-8"?>
<ds:datastoreItem xmlns:ds="http://schemas.openxmlformats.org/officeDocument/2006/customXml" ds:itemID="{9E01DE26-20EA-4F08-8B1B-9509DD9E028A}">
  <ds:schemaRefs>
    <ds:schemaRef ds:uri="http://schemas.microsoft.com/sharepoint/v3/contenttype/forms"/>
  </ds:schemaRefs>
</ds:datastoreItem>
</file>

<file path=customXml/itemProps3.xml><?xml version="1.0" encoding="utf-8"?>
<ds:datastoreItem xmlns:ds="http://schemas.openxmlformats.org/officeDocument/2006/customXml" ds:itemID="{FC3EDBBF-B0BE-46D8-9945-B2D56947B6E6}">
  <ds:schemaRefs>
    <ds:schemaRef ds:uri="http://schemas.openxmlformats.org/officeDocument/2006/bibliography"/>
  </ds:schemaRefs>
</ds:datastoreItem>
</file>

<file path=customXml/itemProps4.xml><?xml version="1.0" encoding="utf-8"?>
<ds:datastoreItem xmlns:ds="http://schemas.openxmlformats.org/officeDocument/2006/customXml" ds:itemID="{E0472A9D-7952-4A9F-AAC0-9ECB7F260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5f9f0-6a22-4e13-926a-6e16c073a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Gallagher</dc:creator>
  <cp:lastModifiedBy>Ciara O'Connor (OPR)</cp:lastModifiedBy>
  <cp:revision>3</cp:revision>
  <cp:lastPrinted>2024-12-17T07:51:00Z</cp:lastPrinted>
  <dcterms:created xsi:type="dcterms:W3CDTF">2026-01-14T12:28:00Z</dcterms:created>
  <dcterms:modified xsi:type="dcterms:W3CDTF">2026-01-14T12:29:00Z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0x0101000BC94875665D404BB1351B53C41FD2C000F39AAE44A6CE4F448E30CBE3F33F9E30</vt:lpwstr>
  </property>
  <property fmtid="{D5CDD505-2E9C-101B-9397-08002B2CF9AE}" pid="3" name="eDocs_FileTopics">
    <vt:lpwstr>3;#Training|1b1af86b-6e3d-427c-84a9-060c2646b42f;#7;##Administration|b6bd9f8c-289a-4f07-95a5-8cc076f5a2a5</vt:lpwstr>
  </property>
  <property fmtid="{D5CDD505-2E9C-101B-9397-08002B2CF9AE}" pid="4" name="eDocs_Year">
    <vt:lpwstr>8;#2022|c370b90f-72cd-4e80-992a-c1cb3d34543d</vt:lpwstr>
  </property>
  <property fmtid="{D5CDD505-2E9C-101B-9397-08002B2CF9AE}" pid="5" name="eDocs_SeriesSubSeries">
    <vt:lpwstr>5;#005|b6ca8734-42a7-4548-9818-5fdb49781e6d</vt:lpwstr>
  </property>
  <property fmtid="{D5CDD505-2E9C-101B-9397-08002B2CF9AE}" pid="6" name="eDocs_SecurityClassificationTaxHTField0">
    <vt:lpwstr>Unclassified|101a68fb-7e1c-440b-9bf6-e87dd5b1986c</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eDocs_SecurityClassification">
    <vt:lpwstr>5;#Unclassified|101a68fb-7e1c-440b-9bf6-e87dd5b1986c</vt:lpwstr>
  </property>
  <property fmtid="{D5CDD505-2E9C-101B-9397-08002B2CF9AE}" pid="10" name="eDocs_DocumentTopics">
    <vt:lpwstr/>
  </property>
  <property fmtid="{D5CDD505-2E9C-101B-9397-08002B2CF9AE}" pid="11" name="_dlc_LastRun">
    <vt:lpwstr>07/31/2021 23:03:00</vt:lpwstr>
  </property>
  <property fmtid="{D5CDD505-2E9C-101B-9397-08002B2CF9AE}" pid="12" name="_dlc_ItemStageId">
    <vt:lpwstr>1</vt:lpwstr>
  </property>
  <property fmtid="{D5CDD505-2E9C-101B-9397-08002B2CF9AE}" pid="13" name="_docset_NoMedatataSyncRequired">
    <vt:lpwstr>False</vt:lpwstr>
  </property>
  <property fmtid="{D5CDD505-2E9C-101B-9397-08002B2CF9AE}" pid="14" name="eDocs_Series">
    <vt:lpwstr>1;#005|b6ca8734-42a7-4548-9818-5fdb49781e6d</vt:lpwstr>
  </property>
  <property fmtid="{D5CDD505-2E9C-101B-9397-08002B2CF9AE}" pid="15" name="ge25f6a3ef6f42d4865685f2a74bf8c7">
    <vt:lpwstr/>
  </property>
  <property fmtid="{D5CDD505-2E9C-101B-9397-08002B2CF9AE}" pid="16" name="eDocs_RetentionPeriodTerm">
    <vt:lpwstr/>
  </property>
</Properties>
</file>