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4322C27A" w:rsidR="0085165B" w:rsidRPr="009D3A28" w:rsidRDefault="00B3562A" w:rsidP="003B1E7B">
      <w:pPr>
        <w:rPr>
          <w:color w:val="2E74B5" w:themeColor="accent1" w:themeShade="BF"/>
          <w:sz w:val="24"/>
        </w:rPr>
      </w:pPr>
      <w:r w:rsidRPr="00B3562A">
        <w:rPr>
          <w:color w:val="2E74B5" w:themeColor="accent1" w:themeShade="BF"/>
          <w:sz w:val="28"/>
          <w:szCs w:val="28"/>
          <w:lang w:val="en-IE"/>
        </w:rPr>
        <w:t>GIS Officer (HEO Grade)</w:t>
      </w:r>
      <w:r w:rsidR="00DA39DB">
        <w:rPr>
          <w:color w:val="2E74B5" w:themeColor="accent1" w:themeShade="BF"/>
          <w:sz w:val="28"/>
          <w:szCs w:val="28"/>
          <w:lang w:val="en-IE"/>
        </w:rPr>
        <w:t>, Office of the Planning Regulator</w:t>
      </w:r>
    </w:p>
    <w:p w14:paraId="50E4D838" w14:textId="77777777" w:rsidR="00DC18D0" w:rsidRPr="009D3A28" w:rsidRDefault="00DA39DB"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14F1E74E"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4620AE" w:rsidRPr="005B0EC4">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7590F0BA"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DA39DB">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7A1D0E6D"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B3562A">
        <w:rPr>
          <w:rFonts w:cs="Arial"/>
          <w:szCs w:val="22"/>
        </w:rPr>
        <w:t>GIS Officer (HEO Grade)</w:t>
      </w:r>
      <w:r w:rsidRPr="00AD3EF0">
        <w:rPr>
          <w:rFonts w:cs="Arial"/>
          <w:szCs w:val="22"/>
        </w:rPr>
        <w:t>.</w:t>
      </w:r>
      <w:r w:rsidRPr="003F07B5">
        <w:rPr>
          <w:rFonts w:cs="Arial"/>
          <w:color w:val="FF0000"/>
          <w:szCs w:val="22"/>
        </w:rPr>
        <w:t xml:space="preserve"> </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31066DAC"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lastRenderedPageBreak/>
              <w:br w:type="page"/>
            </w:r>
            <w:r w:rsidR="009D3A28">
              <w:rPr>
                <w:rFonts w:ascii="Arial" w:hAnsi="Arial" w:cs="Arial"/>
                <w:b/>
                <w:sz w:val="22"/>
                <w:szCs w:val="22"/>
              </w:rPr>
              <w:t xml:space="preserve"> Judgement, Analysis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50C3A372" w:rsidR="009D3A28" w:rsidRPr="00F560CC" w:rsidRDefault="00FC2902"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 xml:space="preserve">Team </w:t>
            </w:r>
            <w:r w:rsidR="009D3A28">
              <w:rPr>
                <w:rFonts w:ascii="Arial" w:hAnsi="Arial" w:cs="Arial"/>
                <w:b/>
                <w:sz w:val="22"/>
                <w:szCs w:val="22"/>
              </w:rPr>
              <w:t>Leadership</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5A818637"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DA39DB">
              <w:rPr>
                <w:rFonts w:ascii="Arial" w:hAnsi="Arial" w:cs="Arial"/>
                <w:b/>
                <w:sz w:val="22"/>
                <w:szCs w:val="22"/>
              </w:rPr>
              <w:t>, Expertise and Self Development</w:t>
            </w:r>
            <w:bookmarkStart w:id="0" w:name="_GoBack"/>
            <w:bookmarkEnd w:id="0"/>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7B14CC44"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DA39DB">
              <w:rPr>
                <w:rFonts w:ascii="Arial" w:hAnsi="Arial" w:cs="Arial"/>
                <w:b/>
                <w:bCs/>
                <w:noProof/>
                <w:sz w:val="18"/>
                <w:szCs w:val="18"/>
              </w:rPr>
              <w:t>10</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DA39DB">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0F2F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13D39"/>
    <w:rsid w:val="0045396A"/>
    <w:rsid w:val="00460C1C"/>
    <w:rsid w:val="004620AE"/>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3562A"/>
    <w:rsid w:val="00B85B9B"/>
    <w:rsid w:val="00B9102E"/>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A39DB"/>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ECD7-15EF-47E6-AB7B-1C27A73E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5649</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2019-03-21T13:01:00Z</dcterms:created>
  <dcterms:modified xsi:type="dcterms:W3CDTF">2019-04-26T12:56:00Z</dcterms:modified>
</cp:coreProperties>
</file>